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9" w:firstLine="0"/>
        <w:jc w:val="center"/>
        <w:tabs>
          <w:tab w:val="left" w:pos="0" w:leader="none"/>
          <w:tab w:val="left" w:pos="255" w:leader="none"/>
        </w:tabs>
        <w:rPr>
          <w:b/>
          <w:sz w:val="24"/>
          <w:highlight w:val="white"/>
        </w:rPr>
      </w:pPr>
      <w:r>
        <w:rPr>
          <w:highlight w:val="white"/>
        </w:rPr>
      </w:r>
      <w:bookmarkStart w:id="0" w:name="_Toc308451909"/>
      <w:r>
        <w:rPr>
          <w:highlight w:val="white"/>
        </w:rPr>
      </w:r>
      <w:bookmarkStart w:id="1" w:name="_Ref130001597"/>
      <w:r>
        <w:rPr>
          <w:highlight w:val="white"/>
        </w:rPr>
      </w:r>
      <w:bookmarkStart w:id="2" w:name="_Ref130001600"/>
      <w:r>
        <w:rPr>
          <w:highlight w:val="white"/>
        </w:rPr>
      </w:r>
      <w:bookmarkStart w:id="3" w:name="_Toc130001643"/>
      <w:r>
        <w:rPr>
          <w:highlight w:val="white"/>
        </w:rPr>
      </w:r>
      <w:bookmarkStart w:id="4" w:name="_Toc130092260"/>
      <w:r>
        <w:rPr>
          <w:highlight w:val="white"/>
        </w:rPr>
      </w:r>
      <w:bookmarkStart w:id="5" w:name="_Ref166663341"/>
      <w:r>
        <w:rPr>
          <w:b/>
          <w:sz w:val="24"/>
          <w:highlight w:val="white"/>
        </w:rPr>
        <w:t xml:space="preserve">ТЕХНИЧЕСКОЕ ЗАДАНИЕ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ind w:right="-1"/>
        <w:jc w:val="center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b/>
          <w:sz w:val="24"/>
          <w:highlight w:val="white"/>
        </w:rPr>
      </w:pPr>
      <w:r>
        <w:rPr>
          <w:b/>
          <w:sz w:val="24"/>
          <w:highlight w:val="white"/>
        </w:rPr>
        <w:t xml:space="preserve">для проведения открытого конкурса в электронной форме на право заключения договора добровольного личного страхования для нужд АО «Россети Сибирь Тываэнерго»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ind w:left="1211" w:firstLine="0"/>
        <w:jc w:val="center"/>
        <w:tabs>
          <w:tab w:val="left" w:pos="0" w:leader="none"/>
          <w:tab w:val="left" w:pos="255" w:leader="none"/>
        </w:tabs>
        <w:rPr>
          <w:b/>
          <w:sz w:val="24"/>
          <w:highlight w:val="white"/>
        </w:rPr>
      </w:pP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sz w:val="24"/>
          <w:highlight w:val="white"/>
        </w:rPr>
      </w:pPr>
      <w:r>
        <w:rPr>
          <w:b/>
          <w:sz w:val="24"/>
          <w:highlight w:val="white"/>
        </w:rPr>
        <w:t xml:space="preserve">Предмет закупки: </w:t>
      </w:r>
      <w:r>
        <w:rPr>
          <w:sz w:val="24"/>
          <w:highlight w:val="white"/>
        </w:rPr>
        <w:t xml:space="preserve">заключение договора добровольного личного страхования для нужд АО «Россети Сибирь Тываэнерго».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sz w:val="24"/>
          <w:highlight w:val="white"/>
        </w:rPr>
      </w:pPr>
      <w:r>
        <w:rPr>
          <w:b/>
          <w:sz w:val="24"/>
          <w:highlight w:val="white"/>
        </w:rPr>
        <w:t xml:space="preserve">Способ закупки: </w:t>
      </w:r>
      <w:r>
        <w:rPr>
          <w:sz w:val="24"/>
          <w:highlight w:val="white"/>
        </w:rPr>
        <w:t xml:space="preserve">открытый конкурс в электронной форме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2"/>
        </w:numPr>
        <w:ind w:firstLine="349"/>
        <w:tabs>
          <w:tab w:val="left" w:pos="0" w:leader="none"/>
          <w:tab w:val="left" w:pos="255" w:leader="none"/>
        </w:tabs>
        <w:rPr>
          <w:b w:val="0"/>
          <w:bCs w:val="0"/>
          <w:i w:val="0"/>
          <w:iCs w:val="0"/>
          <w:sz w:val="24"/>
          <w:highlight w:val="white"/>
        </w:rPr>
      </w:pPr>
      <w:r>
        <w:rPr>
          <w:b/>
          <w:bCs/>
          <w:i w:val="0"/>
          <w:iCs w:val="0"/>
          <w:sz w:val="24"/>
          <w:highlight w:val="white"/>
        </w:rPr>
        <w:t xml:space="preserve">Предельная цена лота (общая страховая премия)</w:t>
      </w:r>
      <w:r>
        <w:rPr>
          <w:b w:val="0"/>
          <w:bCs w:val="0"/>
          <w:i w:val="0"/>
          <w:iCs w:val="0"/>
          <w:sz w:val="24"/>
          <w:highlight w:val="white"/>
        </w:rPr>
        <w:t xml:space="preserve">: </w:t>
      </w:r>
      <w:r>
        <w:rPr>
          <w:b w:val="0"/>
          <w:bCs w:val="0"/>
          <w:i w:val="0"/>
          <w:iCs w:val="0"/>
          <w:sz w:val="24"/>
          <w:highlight w:val="white"/>
        </w:rPr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</w:rPr>
        <w:t xml:space="preserve">6 222 970,32</w:t>
      </w:r>
      <w:r>
        <w:rPr>
          <w:b w:val="0"/>
          <w:bCs w:val="0"/>
          <w:i w:val="0"/>
          <w:iCs w:val="0"/>
          <w:sz w:val="24"/>
          <w:highlight w:val="white"/>
        </w:rPr>
        <w:t xml:space="preserve"> рублей (Шесть миллионов двести двадцать две тысячи девятьсот семьдесят</w:t>
      </w:r>
      <w:r>
        <w:rPr>
          <w:b w:val="0"/>
          <w:bCs w:val="0"/>
          <w:i w:val="0"/>
          <w:iCs w:val="0"/>
          <w:sz w:val="24"/>
          <w:highlight w:val="white"/>
        </w:rPr>
        <w:t xml:space="preserve">) рублей 32 копейки. (НДС не облагается).</w:t>
      </w:r>
      <w:r>
        <w:rPr>
          <w:b w:val="0"/>
          <w:bCs w:val="0"/>
          <w:i w:val="0"/>
          <w:iCs w:val="0"/>
          <w:sz w:val="24"/>
          <w:highlight w:val="white"/>
        </w:rPr>
        <w:t xml:space="preserve"> </w:t>
      </w:r>
      <w:r>
        <w:rPr>
          <w:b w:val="0"/>
          <w:bCs w:val="0"/>
          <w:i w:val="0"/>
          <w:iCs w:val="0"/>
          <w:sz w:val="24"/>
          <w:highlight w:val="white"/>
        </w:rPr>
      </w:r>
      <w:r>
        <w:rPr>
          <w:b w:val="0"/>
          <w:bCs w:val="0"/>
          <w:i w:val="0"/>
          <w:iCs w:val="0"/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sz w:val="24"/>
          <w:highlight w:val="white"/>
        </w:rPr>
      </w:pPr>
      <w:r>
        <w:rPr>
          <w:b/>
          <w:sz w:val="24"/>
          <w:highlight w:val="white"/>
        </w:rPr>
        <w:t xml:space="preserve">Срок оказания услуг: </w:t>
      </w:r>
      <w:r>
        <w:rPr>
          <w:sz w:val="24"/>
          <w:highlight w:val="white"/>
        </w:rPr>
        <w:t xml:space="preserve">26.12.2024 – 25.12.2027.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Объекты страхования</w:t>
      </w:r>
      <w:bookmarkEnd w:id="0"/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contextualSpacing/>
        <w:ind w:right="-1" w:firstLine="709"/>
        <w:tabs>
          <w:tab w:val="left" w:pos="567" w:leader="none"/>
          <w:tab w:val="left" w:pos="972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Объектом страхования являются имущественные интересы, связанные с: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112"/>
        <w:numPr>
          <w:ilvl w:val="1"/>
          <w:numId w:val="18"/>
        </w:numPr>
        <w:contextualSpacing/>
        <w:ind w:left="0" w:right="-1" w:firstLine="709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оплатой организации и оказания медицинской и лекарственной помощи</w:t>
      </w:r>
      <w:r>
        <w:rPr>
          <w:rFonts w:ascii="Times New Roman" w:hAnsi="Times New Roman"/>
          <w:sz w:val="24"/>
          <w:szCs w:val="24"/>
          <w:highlight w:val="white"/>
        </w:rPr>
        <w:t xml:space="preserve"> (медицинских услуг) и иных услуг вследствие расстройства здоровья застрахованного лица или состояния застрахованного лица, требующих организации и оказания таких услуг, а также проведения профилактических мероприятий, снижающих степень опасных для жизни и</w:t>
      </w:r>
      <w:r>
        <w:rPr>
          <w:rFonts w:ascii="Times New Roman" w:hAnsi="Times New Roman"/>
          <w:sz w:val="24"/>
          <w:szCs w:val="24"/>
          <w:highlight w:val="white"/>
        </w:rPr>
        <w:t xml:space="preserve">ли здоровья застрахованного лица угроз и/или устраняющих их;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1"/>
          <w:numId w:val="18"/>
        </w:numPr>
        <w:contextualSpacing/>
        <w:ind w:left="0" w:right="-1" w:firstLine="709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 причинением вреда жизни и здоровью застрахованного лица вследствие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b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Страховым случаем является: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Застрахованного в течение срока действия договора страхования в </w:t>
      </w:r>
      <w:r>
        <w:rPr>
          <w:rFonts w:ascii="Times New Roman" w:hAnsi="Times New Roman"/>
          <w:sz w:val="24"/>
          <w:szCs w:val="24"/>
          <w:highlight w:val="white"/>
        </w:rPr>
        <w:t xml:space="preserve">лечебно-профилактические учреждения (далее – ЛПУ) или иное учреждение из числа предусмотренных договором страхования для организации и оказания ему медицинских и иных услуг в соответствии с условиями, предусмотренными Программой страхования;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обращение Заст</w:t>
      </w:r>
      <w:r>
        <w:rPr>
          <w:rFonts w:ascii="Times New Roman" w:hAnsi="Times New Roman"/>
          <w:sz w:val="24"/>
          <w:szCs w:val="24"/>
          <w:highlight w:val="white"/>
        </w:rPr>
        <w:t xml:space="preserve">рахованного в течение срока действия договора страхования в другое ЛПУ или иное учреждение, помимо предусмотренных договором страхования, для организации и оказания ему медицинских и иных услуг, если это обращение согласовано и/или организовано Страховщико</w:t>
      </w:r>
      <w:r>
        <w:rPr>
          <w:rFonts w:ascii="Times New Roman" w:hAnsi="Times New Roman"/>
          <w:sz w:val="24"/>
          <w:szCs w:val="24"/>
          <w:highlight w:val="white"/>
        </w:rPr>
        <w:t xml:space="preserve">м;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возникновение в течение срока действия договора страхования необходимости организации и оказания иных услуг, предусмотренных Программой страхования, в связи с расстройством здоровья или состоянием Застрахованного, требующих оказания таких услуг;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факт пр</w:t>
      </w:r>
      <w:r>
        <w:rPr>
          <w:rFonts w:ascii="Times New Roman" w:hAnsi="Times New Roman"/>
          <w:sz w:val="24"/>
          <w:szCs w:val="24"/>
          <w:highlight w:val="white"/>
        </w:rPr>
        <w:t xml:space="preserve">ичинения вреда жизни или здоровья застрахованного в результате несчастного случая.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Страховые риски: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1112"/>
        <w:numPr>
          <w:ilvl w:val="1"/>
          <w:numId w:val="31"/>
        </w:numPr>
        <w:ind w:left="0" w:firstLine="709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highlight w:val="white"/>
        </w:rPr>
      </w:r>
      <w:bookmarkStart w:id="6" w:name="OLE_LINK8"/>
      <w:r>
        <w:rPr>
          <w:rFonts w:ascii="Times New Roman" w:hAnsi="Times New Roman"/>
          <w:sz w:val="24"/>
          <w:highlight w:val="white"/>
        </w:rPr>
        <w:t xml:space="preserve"> Страховым риском является возникновение обстоятельств, требующих оказания следующих медицинских или иных услуг: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Амбулаторно-поликлиническое обслуживание;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sz w:val="24"/>
          <w:szCs w:val="24"/>
          <w:highlight w:val="white"/>
        </w:rPr>
        <w:t xml:space="preserve">омощь на дому;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Стоматологическая помощь;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Коммерческая скорая и неотложная медицинская помощь;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Стационарное обслуживание (плановые и экстренные госпитализации);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Обслуживание в медицинских научных центрах;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Телемедицинские услуги;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Услуга «Антиклещ»;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Экстренна</w:t>
      </w:r>
      <w:r>
        <w:rPr>
          <w:rFonts w:ascii="Times New Roman" w:hAnsi="Times New Roman"/>
          <w:sz w:val="24"/>
          <w:szCs w:val="24"/>
          <w:highlight w:val="white"/>
        </w:rPr>
        <w:t xml:space="preserve">я медицинская помощь на территории РФ;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0"/>
          <w:numId w:val="15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Экстренная и неотложная помощь за пределами РФ.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112"/>
        <w:numPr>
          <w:ilvl w:val="1"/>
          <w:numId w:val="31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Временное расстройство здоровья в результате несчастного случая;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112"/>
        <w:numPr>
          <w:ilvl w:val="1"/>
          <w:numId w:val="31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Постоянная утрата трудоспособности (инвалидность) в результате </w:t>
      </w:r>
      <w:r>
        <w:rPr>
          <w:rFonts w:ascii="Times New Roman" w:hAnsi="Times New Roman"/>
          <w:sz w:val="24"/>
          <w:highlight w:val="white"/>
        </w:rPr>
        <w:t xml:space="preserve">несчастного случая</w:t>
      </w:r>
      <w:r>
        <w:rPr>
          <w:rFonts w:ascii="Times New Roman" w:hAnsi="Times New Roman"/>
          <w:sz w:val="24"/>
          <w:highlight w:val="white"/>
        </w:rPr>
        <w:t xml:space="preserve">;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112"/>
        <w:numPr>
          <w:ilvl w:val="1"/>
          <w:numId w:val="31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Смерть в результате несчастного случая;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112"/>
        <w:numPr>
          <w:ilvl w:val="1"/>
          <w:numId w:val="31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Утрата профессиональной трудоспособности в результате несчастного случая.</w:t>
      </w:r>
      <w:bookmarkEnd w:id="6"/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Общие положения и требования.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1112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8.1.</w:t>
      </w:r>
      <w:r>
        <w:rPr>
          <w:rFonts w:ascii="Times New Roman" w:hAnsi="Times New Roman"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 xml:space="preserve">Застрахованным предоставляется прямой доступ в лечебно-профилактические учреждения (далее – ЛПУ), оказывающие амбулаторно-поликлиническую и стоматологическую помощь в соответствии с Программами страхования, если режим работы ЛПУ допускает прямой доступ. 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112"/>
        <w:numPr>
          <w:ilvl w:val="1"/>
          <w:numId w:val="33"/>
        </w:numPr>
        <w:ind w:left="0" w:firstLine="709"/>
        <w:spacing w:after="0"/>
        <w:tabs>
          <w:tab w:val="left" w:pos="1134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В</w:t>
      </w:r>
      <w:r>
        <w:rPr>
          <w:rFonts w:ascii="Times New Roman" w:hAnsi="Times New Roman"/>
          <w:sz w:val="24"/>
          <w:highlight w:val="white"/>
        </w:rPr>
        <w:t xml:space="preserve"> случае отсутствия необходимого вида медицинской помощи (медицинской услуги) в ЛПУ, предоставляемом Застрахованному по программе страхования по действующему договору, Страховщик обязан предоставить ему медицинскую помощь в полном объеме на базе ЛПУ районно</w:t>
      </w:r>
      <w:r>
        <w:rPr>
          <w:rFonts w:ascii="Times New Roman" w:hAnsi="Times New Roman"/>
          <w:sz w:val="24"/>
          <w:highlight w:val="white"/>
        </w:rPr>
        <w:t xml:space="preserve">го, городского, областного, федерального либо ведомственного подчинения, имеющего договорные отношения со Страховщиком (по факту обращения Застрахованного на круглосуточный медицинский пульт Страховщика) а также, в случае необходимости,  обеспечить транспо</w:t>
      </w:r>
      <w:r>
        <w:rPr>
          <w:rFonts w:ascii="Times New Roman" w:hAnsi="Times New Roman"/>
          <w:sz w:val="24"/>
          <w:highlight w:val="white"/>
        </w:rPr>
        <w:t xml:space="preserve">ртировку Застрахованного в медицинское учреждение.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112"/>
        <w:numPr>
          <w:ilvl w:val="1"/>
          <w:numId w:val="33"/>
        </w:numPr>
        <w:ind w:left="0"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Страховщик имеет право привлекать для организации медицинского обслуживания Застрахованных по риску «Экстренная и неотложная помощь за пределами РФ» специализированные медицинские сервисные компании. В ост</w:t>
      </w:r>
      <w:r>
        <w:rPr>
          <w:rFonts w:ascii="Times New Roman" w:hAnsi="Times New Roman"/>
          <w:sz w:val="24"/>
          <w:highlight w:val="white"/>
        </w:rPr>
        <w:t xml:space="preserve">альных случаях Страховщик не имеет права привлекать для выполнения обязательств по Договору </w:t>
      </w:r>
      <w:r>
        <w:rPr>
          <w:rFonts w:ascii="Times New Roman" w:hAnsi="Times New Roman"/>
          <w:sz w:val="24"/>
          <w:highlight w:val="white"/>
        </w:rPr>
        <w:t xml:space="preserve">страхования,</w:t>
      </w:r>
      <w:r>
        <w:rPr>
          <w:rFonts w:ascii="Times New Roman" w:hAnsi="Times New Roman"/>
          <w:sz w:val="24"/>
          <w:highlight w:val="white"/>
        </w:rPr>
        <w:t xml:space="preserve"> специализированные медицинские сервисные компании.  </w:t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709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 В случае удаленного нахождения Застрахованного от места жительства и возникновения необходимости о</w:t>
      </w:r>
      <w:r>
        <w:rPr>
          <w:bCs/>
          <w:sz w:val="24"/>
          <w:highlight w:val="white"/>
        </w:rPr>
        <w:t xml:space="preserve">казания ему экстренной амбулаторной или стационарной помощи (в т.ч. организации скорой медицинской помощи) Страховщик обязан предоставить ему медицинскую помощь в полном объеме в ЛПУ уровня, соответствующего программе страхования Застрахованного, а также, </w:t>
      </w:r>
      <w:r>
        <w:rPr>
          <w:bCs/>
          <w:sz w:val="24"/>
          <w:highlight w:val="white"/>
        </w:rPr>
        <w:t xml:space="preserve">в случае необходимости, обеспечить транспортировку Застрахованного в требуемое медицинское учреждение.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По жизненным показаниям экстренная госпитализация может быть осуществлена в ближайшее к месту нахождения Застрахованного лечебно-профилактическое учрежде</w:t>
      </w:r>
      <w:r>
        <w:rPr>
          <w:bCs/>
          <w:sz w:val="24"/>
          <w:highlight w:val="white"/>
        </w:rPr>
        <w:t xml:space="preserve">ние, способное оказать соответствующую медицинскую помощь. В дальнейшем, при наличии заключения лечащего врача о купировании тяжести состояния, стойкой стабилизации состояния и транспортабельности больного, Страховщик организует и осуществляет перевод Заст</w:t>
      </w:r>
      <w:r>
        <w:rPr>
          <w:bCs/>
          <w:sz w:val="24"/>
          <w:highlight w:val="white"/>
        </w:rPr>
        <w:t xml:space="preserve">рахованного в профильное ЛПУ из числа указанных в Договоре страхования в течение 24 часов, а при объективной невозможности выполнить перевод в указанный период – в течение 2 (двух) суток. До момента перевода в профильное ЛПУ организует привлечение консульт</w:t>
      </w:r>
      <w:r>
        <w:rPr>
          <w:bCs/>
          <w:sz w:val="24"/>
          <w:highlight w:val="white"/>
        </w:rPr>
        <w:t xml:space="preserve">антов соответствующего профиля для оказания специализированной помощи;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Для оперативного решения вопросов по организации медицинской помощи и сопровождению договора страхования Страховщик в обязательном порядке предоставляет: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1112"/>
        <w:numPr>
          <w:ilvl w:val="3"/>
          <w:numId w:val="20"/>
        </w:numPr>
        <w:contextualSpacing/>
        <w:ind w:left="0" w:firstLine="709"/>
        <w:jc w:val="both"/>
        <w:spacing w:after="0" w:line="240" w:lineRule="auto"/>
        <w:tabs>
          <w:tab w:val="left" w:pos="426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услуги круглосуточного медицинского диспетчерского пульта с предоставлением бесплатного федерального телефонного номера (для связи Застрахованных с медицинским персоналом пульта);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112"/>
        <w:numPr>
          <w:ilvl w:val="3"/>
          <w:numId w:val="20"/>
        </w:numPr>
        <w:contextualSpacing/>
        <w:ind w:left="0" w:firstLine="709"/>
        <w:jc w:val="both"/>
        <w:spacing w:after="0" w:line="240" w:lineRule="auto"/>
        <w:tabs>
          <w:tab w:val="left" w:pos="426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 услуги Личного Кабинета (далее – ЛК) в соответствии с требованиями, изложен</w:t>
      </w: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ными в Приложении 8 к настоящему ТЗ; 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112"/>
        <w:numPr>
          <w:ilvl w:val="3"/>
          <w:numId w:val="20"/>
        </w:numPr>
        <w:contextualSpacing/>
        <w:ind w:left="0" w:firstLine="709"/>
        <w:jc w:val="both"/>
        <w:spacing w:after="0" w:line="240" w:lineRule="auto"/>
        <w:tabs>
          <w:tab w:val="left" w:pos="426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мобильное приложение, работающее на базе IOS, Android и иных мобильных платформах и имеющее функционал, аналогичный ЛК для Застрахованного лица;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112"/>
        <w:numPr>
          <w:ilvl w:val="3"/>
          <w:numId w:val="20"/>
        </w:numPr>
        <w:contextualSpacing/>
        <w:ind w:left="0" w:firstLine="709"/>
        <w:jc w:val="both"/>
        <w:spacing w:after="0" w:line="240" w:lineRule="auto"/>
        <w:tabs>
          <w:tab w:val="left" w:pos="426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контактную информацию кураторов настоящего Договора (по организационным и</w:t>
      </w: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 финансовым вопросам) с номером мобильного телефона;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112"/>
        <w:numPr>
          <w:ilvl w:val="3"/>
          <w:numId w:val="20"/>
        </w:numPr>
        <w:contextualSpacing/>
        <w:ind w:left="0" w:firstLine="709"/>
        <w:jc w:val="both"/>
        <w:spacing w:after="0" w:line="240" w:lineRule="auto"/>
        <w:tabs>
          <w:tab w:val="left" w:pos="426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контактную информацию врачей-кураторов (по медицинским вопросам) с номером мобильного телефона.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Страхование осуществляется без заполнения медицинских анкет, проведения предварительного медицинского осмот</w:t>
      </w:r>
      <w:r>
        <w:rPr>
          <w:bCs/>
          <w:sz w:val="24"/>
          <w:highlight w:val="white"/>
        </w:rPr>
        <w:t xml:space="preserve">ра лиц, подлежащих страхованию, а также применения повышающих коэффициентов.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Страховщик предоставляет программные продукты «Личный кабинет Застрахованного» и «Личный кабинет Страхователя» (далее – ЛК), а также мобильное приложение для смартфонов с операцио</w:t>
      </w:r>
      <w:r>
        <w:rPr>
          <w:bCs/>
          <w:sz w:val="24"/>
          <w:highlight w:val="white"/>
        </w:rPr>
        <w:t xml:space="preserve">нными системами IOS и Android, полностью удовлетворяющие требованиям, изложенным в Приложении 8 к настоящему Техническому заданию в срок не позднее 20 рабочих дней до момента начала периода страхования.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Не позднее 5 (пяти) рабочих дней с даты предоставлен</w:t>
      </w:r>
      <w:r>
        <w:rPr>
          <w:bCs/>
          <w:sz w:val="24"/>
          <w:highlight w:val="white"/>
        </w:rPr>
        <w:t xml:space="preserve">ия Страхователем списка застрахованных лиц Страховщик размещает в ЛК Застрахованного и направляет каждому Застрахованному посредством e-mail  именные страховые полисы (включая международные страховые полисы) с приложением к ним соответствующей Программы ст</w:t>
      </w:r>
      <w:r>
        <w:rPr>
          <w:bCs/>
          <w:sz w:val="24"/>
          <w:highlight w:val="white"/>
        </w:rPr>
        <w:t xml:space="preserve">рахования, в том числе перечня медицинских услуг и ЛПУ (с указанием адреса и контактных телефонов), в которых эти услуги будут предоставляться, памятку Застрахованного, а также информацию о рисках, страховых суммах и порядке урегулирования страховых случае</w:t>
      </w:r>
      <w:r>
        <w:rPr>
          <w:bCs/>
          <w:sz w:val="24"/>
          <w:highlight w:val="white"/>
        </w:rPr>
        <w:t xml:space="preserve">в. Также Страховщик за свой счет в течение 3 (трех) рабочих дней с даты изменения списочного состава Застрахованных направляет каждому Застрахованному SMS-ссылку на Wallet-приложения (IOS, Android) с информацией о страховых полисах, документах и ссылками н</w:t>
      </w:r>
      <w:r>
        <w:rPr>
          <w:bCs/>
          <w:sz w:val="24"/>
          <w:highlight w:val="white"/>
        </w:rPr>
        <w:t xml:space="preserve">а ЛК в вышеуказанных приложениях.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По запросу Страхователя Страховщик в течение 3 (трех) рабочих дней с даты запроса оформляет, осуществляет курьерскую доставку до места фактического нахождения Страхователя и передает представителю Страхователя именные стра</w:t>
      </w:r>
      <w:r>
        <w:rPr>
          <w:bCs/>
          <w:sz w:val="24"/>
          <w:highlight w:val="white"/>
        </w:rPr>
        <w:t xml:space="preserve">ховые полисы (включая международные страховые полисы) на каждого Застрахованного, памятки, соответствующие Программы страхования, в том числе перечень медицинских услуг и ЛПУ (с указанием адреса и контактных телефонов), в которых эти услуги будут предостав</w:t>
      </w:r>
      <w:r>
        <w:rPr>
          <w:bCs/>
          <w:sz w:val="24"/>
          <w:highlight w:val="white"/>
        </w:rPr>
        <w:t xml:space="preserve">ляться, а так же приложение с информацией о рисках, страховых суммах и порядке урегулирования страховых случаев.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0" w:leader="none"/>
          <w:tab w:val="left" w:pos="426" w:leader="none"/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Страхователь с 01 и/или 15 числа каждого месяца извещает Страховщика о необходимости внесения изменений в состав Застрахованных путем внесения </w:t>
      </w:r>
      <w:r>
        <w:rPr>
          <w:sz w:val="24"/>
          <w:highlight w:val="white"/>
        </w:rPr>
        <w:t xml:space="preserve">изменений в Список Застрахованных лиц посредством функционала ЛК Страхователя/электронной почты по форме Приложения 2 к настоящему Договору. Условия Договора полностью распространяются на вновь внесенных в списки Застрахованных.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0" w:leader="none"/>
          <w:tab w:val="left" w:pos="426" w:leader="none"/>
          <w:tab w:val="left" w:pos="709" w:leader="none"/>
          <w:tab w:val="left" w:pos="851" w:leader="none"/>
          <w:tab w:val="left" w:pos="993" w:leader="none"/>
          <w:tab w:val="left" w:pos="1701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Страховщик производит измен</w:t>
      </w:r>
      <w:r>
        <w:rPr>
          <w:sz w:val="24"/>
          <w:highlight w:val="white"/>
        </w:rPr>
        <w:t xml:space="preserve">ения в Списке Застрахованных лиц, размещает в ЛК Застрахованного и направляет каждому Застрахованному посредством e-mail именные страховые полисы (включая международные страховые полисы) с приложением к ним соответствующей Программы страхования, в том числ</w:t>
      </w:r>
      <w:r>
        <w:rPr>
          <w:sz w:val="24"/>
          <w:highlight w:val="white"/>
        </w:rPr>
        <w:t xml:space="preserve">е перечня медицинских услуг и ЛПУ (с указанием адреса и контактных телефонов), в которых эти услуги будут предоставляться, памятку Застрахованного по форме Приложения 9 к настоящему </w:t>
      </w:r>
      <w:r>
        <w:rPr>
          <w:bCs/>
          <w:sz w:val="24"/>
          <w:highlight w:val="white"/>
        </w:rPr>
        <w:t xml:space="preserve">Техническому заданию</w:t>
      </w:r>
      <w:r>
        <w:rPr>
          <w:sz w:val="24"/>
          <w:highlight w:val="white"/>
        </w:rPr>
        <w:t xml:space="preserve">, а также информацию о рисках, страховых суммах и поря</w:t>
      </w:r>
      <w:r>
        <w:rPr>
          <w:sz w:val="24"/>
          <w:highlight w:val="white"/>
        </w:rPr>
        <w:t xml:space="preserve">дке урегулирования страховых случаев. Также Страховщик за свой счет в течение 3 (трех) рабочих дней с даты изменения списочного состава Застрахованных, указанной в п. 8.1. настоящего Договора, направляет Застрахованному SMS-ссылку на Wallet-приложения (IOS</w:t>
      </w:r>
      <w:r>
        <w:rPr>
          <w:sz w:val="24"/>
          <w:highlight w:val="white"/>
        </w:rPr>
        <w:t xml:space="preserve">, Android) с информацией о страховых полисах, документах и ссылками на ЛК в вышеуказанных приложениях.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По запросу Страхователя Страховщик в течение 3 (трех) рабочих дней с даты запроса оформляет, осуществляет курьерскую доставку до места фактического нахо</w:t>
      </w:r>
      <w:r>
        <w:rPr>
          <w:bCs/>
          <w:sz w:val="24"/>
          <w:highlight w:val="white"/>
        </w:rPr>
        <w:t xml:space="preserve">ждения Страхователя и передает представителю Страхователя именные страховые </w:t>
      </w:r>
      <w:r>
        <w:rPr>
          <w:bCs/>
          <w:sz w:val="24"/>
          <w:highlight w:val="white"/>
        </w:rPr>
        <w:t xml:space="preserve">полисы (включая международные страховые полисы) на каждого Застрахованного, памятки, соответствующие Программы страхования, в том числе перечень медицинских услуг и ЛПУ (с указание</w:t>
      </w:r>
      <w:r>
        <w:rPr>
          <w:bCs/>
          <w:sz w:val="24"/>
          <w:highlight w:val="white"/>
        </w:rPr>
        <w:t xml:space="preserve">м адреса и контактных телефонов), в которых эти услуги будут предоставляться, а так же приложение с информацией о рисках, страховых суммах и порядке урегулирования страховых случаев.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Изменения состава Застрахованных, программ страхования, размера страховой</w:t>
      </w:r>
      <w:r>
        <w:rPr>
          <w:bCs/>
          <w:sz w:val="24"/>
          <w:highlight w:val="white"/>
        </w:rPr>
        <w:t xml:space="preserve"> премии или иных условий настоящего Договора оформляются дополнительными соглашениями к Договору, заключаемыми Сторонами ежеквартально.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Страхование членов семьи Застрахованных: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В течение 3 (трех) месяцев с начала действия периода страхования для каждого З</w:t>
      </w:r>
      <w:r>
        <w:rPr>
          <w:bCs/>
          <w:sz w:val="24"/>
          <w:highlight w:val="white"/>
        </w:rPr>
        <w:t xml:space="preserve">астрахованного должна быть предусмотрена возможность страхования членов семьи Застрахованных по специальным льготным тарифам и Программам страхования «1», «2» (за исключением рисков, указанных в пп. 3.2.1-3.2.4. проекта Договора-Приложения 1 к настоящему Те</w:t>
      </w:r>
      <w:r>
        <w:rPr>
          <w:bCs/>
          <w:sz w:val="24"/>
          <w:highlight w:val="white"/>
        </w:rPr>
        <w:t xml:space="preserve">хническому заданию) за счет </w:t>
      </w:r>
      <w:r>
        <w:rPr>
          <w:bCs/>
          <w:sz w:val="24"/>
          <w:highlight w:val="white"/>
        </w:rPr>
        <w:t xml:space="preserve">собственных средств</w:t>
      </w:r>
      <w:r>
        <w:rPr>
          <w:bCs/>
          <w:sz w:val="24"/>
          <w:highlight w:val="white"/>
        </w:rPr>
        <w:t xml:space="preserve"> Застрахованных путем заключения индивидуальных договоров страхования с Застрахованными. В случае заключения (либо пролонгации) договоров страхования для членов семьи Застрахованных в 2026 году, сроком действи</w:t>
      </w:r>
      <w:r>
        <w:rPr>
          <w:bCs/>
          <w:sz w:val="24"/>
          <w:highlight w:val="white"/>
        </w:rPr>
        <w:t xml:space="preserve">я таких договоров страхования будет являться период с даты начала действия каждого договора страхования до 25.12.2026, а страховая премия по таким договорам страхования будет рассчитываться в объеме, пропорциональном оставшемуся сроку страхования (в днях).</w:t>
      </w:r>
      <w:r>
        <w:rPr>
          <w:bCs/>
          <w:sz w:val="24"/>
          <w:highlight w:val="white"/>
        </w:rPr>
        <w:t xml:space="preserve"> Не принимаются на страхование члены семьи работника, если до окончания срока действия корпоративного Договора страхования осталось менее 3 календарных месяцев.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Условия страхования, размер страховых премий и страховых сумм, а также объем Программ страхован</w:t>
      </w:r>
      <w:r>
        <w:rPr>
          <w:bCs/>
          <w:sz w:val="24"/>
          <w:highlight w:val="white"/>
        </w:rPr>
        <w:t xml:space="preserve">ия для членов семьи Застрахованных устанавливаются в отдельном Соглашении, подписываемом Страховщиком и Страхователем.  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3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 Медицинское страхование членов семьи Застрахованных осуществляется без заполнения медицинских анкет и проведения предварительного мед</w:t>
      </w:r>
      <w:r>
        <w:rPr>
          <w:bCs/>
          <w:sz w:val="24"/>
          <w:highlight w:val="white"/>
        </w:rPr>
        <w:t xml:space="preserve">ицинского осмотра. 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Страховщик вправе применить повышающий возрастной коэффициент к страховым тарифам для членов семьи Застрахованных, которым исполнилось 60 лет и старше: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709" w:firstLine="0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- от 60 до 65 лет – коэффициент 1,2;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ind w:left="709" w:firstLine="0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- от 65 до 70 лет – коэффициент 1,5;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ind w:left="709" w:firstLine="0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- от 70 до 75 лет – коэффициент 2,0;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ind w:left="709" w:firstLine="0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- старше 75 лет – коэффициент 2,5.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самостоятельной оплаты Застрахованным медицинских и иных услуг, предварительно согласованных Страховщиком и предусмотренных Программой страхования, Страховщик обязан осуществи</w:t>
      </w:r>
      <w:r>
        <w:rPr>
          <w:sz w:val="24"/>
          <w:highlight w:val="white"/>
        </w:rPr>
        <w:t xml:space="preserve">ть возмещение их стоимости Застрахованному в соответствии с условиями Договора страхования и Программой страхования после предоставления Застрахованным копий документов, подтверждающих оплату оказанных ему медицинских и иных услуг.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70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рамках Договора страхо</w:t>
      </w:r>
      <w:r>
        <w:rPr>
          <w:sz w:val="24"/>
          <w:highlight w:val="white"/>
        </w:rPr>
        <w:t xml:space="preserve">вания отдельные ЛПУ из указанных в Приложении 6 к настоящему ТЗ предусматривают обслуживание по рискам «амбулаторно-поликлиническое обслуживание» и «стоматологическая помощь» с безусловной франшизой в размере, определенном в Приложении 4 к настоящему ТЗ (д</w:t>
      </w:r>
      <w:r>
        <w:rPr>
          <w:sz w:val="24"/>
          <w:highlight w:val="white"/>
        </w:rPr>
        <w:t xml:space="preserve">алее - «Франшиза»). Условия страхования и применения Франшизы указаны в Приложении 4 к настоящему ТЗ.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70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</w:t>
      </w:r>
      <w:r>
        <w:rPr>
          <w:sz w:val="24"/>
          <w:highlight w:val="white"/>
        </w:rPr>
        <w:t xml:space="preserve">в страховых выплат </w:t>
      </w:r>
      <w:r>
        <w:rPr>
          <w:bCs/>
          <w:sz w:val="24"/>
          <w:highlight w:val="white"/>
        </w:rPr>
        <w:t xml:space="preserve">(Приложение 3 к настоящему Техническому заданию)</w:t>
      </w:r>
      <w:r>
        <w:rPr>
          <w:sz w:val="24"/>
          <w:highlight w:val="white"/>
        </w:rPr>
        <w:t xml:space="preserve">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56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</w:t>
      </w:r>
      <w:r>
        <w:rPr>
          <w:sz w:val="24"/>
          <w:highlight w:val="white"/>
        </w:rPr>
        <w:t xml:space="preserve">каждому повреждению, а затем суммируется. Однако суммарный размер страховой выплаты не может превышать 100 % страховой суммы.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56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отсутствия в Таблице размеров страховых выплат в связи с несчастным случаем диагноза, установленного Застрахованному по </w:t>
      </w:r>
      <w:r>
        <w:rPr>
          <w:sz w:val="24"/>
          <w:highlight w:val="white"/>
        </w:rPr>
        <w:t xml:space="preserve">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 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постоянной утраты трудоспособности (инвалидности) стр</w:t>
      </w:r>
      <w:r>
        <w:rPr>
          <w:sz w:val="24"/>
          <w:highlight w:val="white"/>
        </w:rPr>
        <w:t xml:space="preserve">аховая выплата производится в размере: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709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 группы инвалидности – 100 %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709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II группы инвалидности – 90 %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709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</w:t>
      </w:r>
      <w:r>
        <w:rPr>
          <w:sz w:val="24"/>
          <w:highlight w:val="white"/>
        </w:rPr>
        <w:t xml:space="preserve"> III группы инвалидности 80 % страховой суммы, установленной для данного риска.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смерти Застрахованного страховая выплата производится в размере 100 % страховой суммы, установленной для данного риска. Страховщик обязуется произвести страховую выпла</w:t>
      </w:r>
      <w:r>
        <w:rPr>
          <w:sz w:val="24"/>
          <w:highlight w:val="white"/>
        </w:rPr>
        <w:t xml:space="preserve">ту его наследникам пропорционально их долям наследования (если в полисе/заявлении Застрахованного не указан Выгодоприобретатель), независимо от сумм, причитающихся им по другим договорам страхования, а также по обязательному социальному страхованию, социал</w:t>
      </w:r>
      <w:r>
        <w:rPr>
          <w:sz w:val="24"/>
          <w:highlight w:val="white"/>
        </w:rPr>
        <w:t xml:space="preserve">ьному обеспечению и в порядке возмещения вреда.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суммы, установленной для данного риска, в соответс</w:t>
      </w:r>
      <w:r>
        <w:rPr>
          <w:sz w:val="24"/>
          <w:highlight w:val="white"/>
        </w:rPr>
        <w:t xml:space="preserve">твии с процентом (степенью утраты), на который снизилась профессиональная трудоспособность Застрахованного.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наступлении нескольких страховых случаев по одному и тому же риску общая сумма выплат Застрахованному по этим страховым случаям не должна превыш</w:t>
      </w:r>
      <w:r>
        <w:rPr>
          <w:sz w:val="24"/>
          <w:highlight w:val="white"/>
        </w:rPr>
        <w:t xml:space="preserve">ать индивидуальную страховую сумму по данному риску.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Страховая защита по рискам, указанным в п.7.1. настоящего Технического задания, для всех Застрахованных предоставляется круглосуточно (24 часа в сутки).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-142" w:firstLine="491"/>
        <w:tabs>
          <w:tab w:val="left" w:pos="1276" w:leader="none"/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Страховая защита по рискам, указанным в п.п. 7.2-</w:t>
      </w:r>
      <w:r>
        <w:rPr>
          <w:sz w:val="24"/>
          <w:highlight w:val="white"/>
        </w:rPr>
        <w:t xml:space="preserve">7.5 настоящего Технического задания, для всех Застрахованных предоставляется на период </w:t>
      </w:r>
      <w:bookmarkStart w:id="10" w:name="_GoBack"/>
      <w:r>
        <w:rPr>
          <w:highlight w:val="white"/>
        </w:rPr>
      </w:r>
      <w:bookmarkEnd w:id="10"/>
      <w:r>
        <w:rPr>
          <w:sz w:val="24"/>
          <w:highlight w:val="white"/>
        </w:rPr>
        <w:t xml:space="preserve">исполнения Застрахованным лицом трудовых обязанностей и время в пути Застрахованного лица к месту исполнения им трудовых обязанностей и обратно (время в пути ограничивае</w:t>
      </w:r>
      <w:r>
        <w:rPr>
          <w:sz w:val="24"/>
          <w:highlight w:val="white"/>
        </w:rPr>
        <w:t xml:space="preserve">тся 2 часами до начала рабочего дня и 2 часами после окончания рабочего дня).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К периоду исполнения Застрахованным лицом трудовых обязанностей относится также: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фактическое время нахождения застрахованного командированного работника в командировке (24 часа в сутки), а также в пути от места жительства до места командирования и обратно (время в пути в одну сторону ограничивается 48 часами);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для работников, работ</w:t>
      </w:r>
      <w:r>
        <w:rPr>
          <w:sz w:val="24"/>
          <w:highlight w:val="white"/>
        </w:rPr>
        <w:t xml:space="preserve">ающих по вахтовому методу, время в пути на транспорте, предоставленном работодателем, от места сбора до места вахты и обратно (время в пути в одну сторону ограничивается 12 часами);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время обеденного перерыва.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Территория страхования – весь мир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33"/>
        </w:numPr>
        <w:ind w:left="0" w:firstLine="709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Во избежани</w:t>
      </w:r>
      <w:r>
        <w:rPr>
          <w:sz w:val="24"/>
          <w:highlight w:val="white"/>
        </w:rPr>
        <w:t xml:space="preserve">е сомнений, страховые события по рискам, указанным в пп. 7.2.-7.5., произошедшие в результате террористического акта, диверсий, военных действий, а также маневров или иных военных мероприятий; гражданской войны, действий вооруженных формирований, народных </w:t>
      </w:r>
      <w:r>
        <w:rPr>
          <w:sz w:val="24"/>
          <w:highlight w:val="white"/>
        </w:rPr>
        <w:t xml:space="preserve">волнений, массовых беспорядков и всякого рода забастовок; воздействия мин, бомб, снарядов и иных орудий войны; введения </w:t>
      </w:r>
      <w:r>
        <w:rPr>
          <w:sz w:val="24"/>
          <w:highlight w:val="white"/>
        </w:rPr>
        <w:t xml:space="preserve">чрезвычайного или особого положения, мятежа, бунта, путча, государственного переворота, заговора, восстания или революции, считаются вкл</w:t>
      </w:r>
      <w:r>
        <w:rPr>
          <w:sz w:val="24"/>
          <w:highlight w:val="white"/>
        </w:rPr>
        <w:t xml:space="preserve">юченными при условии, что Застрахованное лицо не принимало в  них непосредственного активного участия и не  проходило в  момент наступления  страхового события военную службу, включая  военные сборы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709" w:firstLine="0"/>
        <w:tabs>
          <w:tab w:val="left" w:pos="1134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2"/>
        </w:numPr>
        <w:ind w:hanging="11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Программы страхования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969"/>
        <w:ind w:left="0" w:firstLine="709"/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Индивидуальный перечень рисков, о</w:t>
      </w:r>
      <w:r>
        <w:rPr>
          <w:bCs/>
          <w:sz w:val="24"/>
          <w:highlight w:val="white"/>
        </w:rPr>
        <w:t xml:space="preserve">бъем и порядок предоставления медицинских и иных услуг указаны в Программах страхования (Приложение 2 к настоящему Техническому заданию).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Перечень ЛПУ, в которые Застрахованные имеют право обращаться за получением медицинских и иных услуг указаны в Приложе</w:t>
      </w:r>
      <w:r>
        <w:rPr>
          <w:bCs/>
          <w:sz w:val="24"/>
          <w:highlight w:val="white"/>
        </w:rPr>
        <w:t xml:space="preserve">нии 6 к настоящему Техническому заданию.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2"/>
        </w:numPr>
        <w:ind w:left="0" w:firstLine="709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Плановая численность лиц, подлежащих страхованию, страховые суммы.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pStyle w:val="1112"/>
        <w:numPr>
          <w:ilvl w:val="1"/>
          <w:numId w:val="34"/>
        </w:numPr>
        <w:ind w:left="0" w:right="-1" w:firstLine="709"/>
        <w:jc w:val="both"/>
        <w:tabs>
          <w:tab w:val="left" w:pos="1276" w:leader="none"/>
        </w:tabs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Сведения о плановой численности лиц, подлежащих страхованию, и их распределение по программам страхования с определением страховой суммы (на дату по</w:t>
      </w: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дготовки конкурсной документации) представлены в таблице 1.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112"/>
        <w:numPr>
          <w:ilvl w:val="1"/>
          <w:numId w:val="34"/>
        </w:numPr>
        <w:ind w:left="0" w:right="-1" w:firstLine="709"/>
        <w:jc w:val="both"/>
        <w:spacing w:after="0" w:line="240" w:lineRule="auto"/>
        <w:tabs>
          <w:tab w:val="left" w:pos="1276" w:leader="none"/>
        </w:tabs>
        <w:rPr>
          <w:bCs/>
          <w:sz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Число застрахованных лиц может быть изменено Страхователем в сторону уменьшения или увеличения при заключении договора, а также в течение всего срока страхования.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ind w:left="360" w:right="-1" w:firstLine="0"/>
        <w:jc w:val="right"/>
        <w:tabs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Таблица 1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tbl>
      <w:tblPr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583"/>
        <w:gridCol w:w="1844"/>
        <w:gridCol w:w="3507"/>
        <w:gridCol w:w="2270"/>
      </w:tblGrid>
      <w:tr>
        <w:tblPrEx/>
        <w:trPr>
          <w:trHeight w:val="843"/>
          <w:tblHeader/>
        </w:trPr>
        <w:tc>
          <w:tcPr>
            <w:tcW w:w="15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программ страхования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Численность Застрахованных по программе страхования, чел.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50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Страховой риск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2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Размер индивидуальной страховой суммы, руб.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71"/>
          <w:tblHeader/>
        </w:trPr>
        <w:tc>
          <w:tcPr>
            <w:tcW w:w="15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  <w:lang w:val="en-US"/>
              </w:rPr>
              <w:t xml:space="preserve">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507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color w:val="000000"/>
                <w:sz w:val="20"/>
                <w:highlight w:val="white"/>
                <w:lang w:val="en-US"/>
              </w:rPr>
              <w:t xml:space="preserve">12</w:t>
            </w:r>
            <w:r>
              <w:rPr>
                <w:color w:val="000000"/>
                <w:sz w:val="20"/>
                <w:highlight w:val="white"/>
              </w:rPr>
              <w:t xml:space="preserve"> </w:t>
            </w:r>
            <w:r>
              <w:rPr>
                <w:color w:val="000000"/>
                <w:sz w:val="20"/>
                <w:highlight w:val="white"/>
                <w:lang w:val="en-US"/>
              </w:rPr>
              <w:t xml:space="preserve">000</w:t>
            </w:r>
            <w:r>
              <w:rPr>
                <w:color w:val="000000"/>
                <w:sz w:val="20"/>
                <w:highlight w:val="white"/>
              </w:rPr>
              <w:t xml:space="preserve">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3"/>
          <w:tblHeader/>
        </w:trPr>
        <w:tc>
          <w:tcPr>
            <w:tcW w:w="158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844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507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  <w:lang w:val="en-US"/>
              </w:rPr>
              <w:t xml:space="preserve">75</w:t>
            </w:r>
            <w:r>
              <w:rPr>
                <w:sz w:val="20"/>
                <w:szCs w:val="20"/>
                <w:highlight w:val="white"/>
              </w:rPr>
              <w:t xml:space="preserve">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8"/>
          <w:tblHeader/>
        </w:trPr>
        <w:tc>
          <w:tcPr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4" w:type="dxa"/>
            <w:vAlign w:val="center"/>
            <w:vMerge w:val="continue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07" w:type="dxa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  <w:lang w:val="en-US"/>
              </w:rPr>
              <w:t xml:space="preserve">750</w:t>
            </w:r>
            <w:r>
              <w:rPr>
                <w:sz w:val="20"/>
                <w:szCs w:val="20"/>
                <w:highlight w:val="white"/>
              </w:rPr>
              <w:t xml:space="preserve">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4" w:type="dxa"/>
            <w:vAlign w:val="center"/>
            <w:vMerge w:val="continue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07" w:type="dxa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  <w:lang w:val="en-US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  <w:t xml:space="preserve"> 000 000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5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507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1 500 000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58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2.1.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844" w:type="dxa"/>
            <w:vAlign w:val="center"/>
            <w:vMerge w:val="restart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507" w:type="dxa"/>
            <w:vAlign w:val="center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150 000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4" w:type="dxa"/>
            <w:vAlign w:val="center"/>
            <w:vMerge w:val="continue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07" w:type="dxa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250 000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4" w:type="dxa"/>
            <w:vAlign w:val="center"/>
            <w:vMerge w:val="continue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07" w:type="dxa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250 000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4"/>
          <w:tblHeader/>
        </w:trPr>
        <w:tc>
          <w:tcPr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keepNext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844" w:type="dxa"/>
            <w:vAlign w:val="center"/>
            <w:vMerge w:val="continue"/>
            <w:textDirection w:val="lrTb"/>
            <w:noWrap w:val="false"/>
          </w:tcPr>
          <w:p>
            <w:pPr>
              <w:pStyle w:val="1065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07" w:type="dxa"/>
            <w:textDirection w:val="lrTb"/>
            <w:noWrap w:val="false"/>
          </w:tcPr>
          <w:p>
            <w:pPr>
              <w:pStyle w:val="1065"/>
              <w:ind w:firstLine="0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3.2.4.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270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250 000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pStyle w:val="969"/>
        <w:ind w:left="567" w:firstLine="0"/>
        <w:tabs>
          <w:tab w:val="left" w:pos="113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1"/>
          <w:numId w:val="34"/>
        </w:numPr>
        <w:ind w:left="0" w:right="-1" w:firstLine="709"/>
        <w:tabs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Страховой суммой является предельный размер страховой выплаты, в пределах которого Страховщик несет свои обязательства.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1"/>
          <w:numId w:val="34"/>
        </w:numPr>
        <w:ind w:left="0" w:right="-1" w:firstLine="709"/>
        <w:tabs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Общая численность Застрахованных в рамках настоящего Договора составляет 903 (девятьсот три) человек.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34"/>
        </w:numPr>
        <w:ind w:left="0" w:firstLine="709"/>
        <w:tabs>
          <w:tab w:val="left" w:pos="1134" w:leader="none"/>
        </w:tabs>
        <w:rPr>
          <w:bCs/>
          <w:sz w:val="24"/>
          <w:highlight w:val="white"/>
        </w:rPr>
      </w:pPr>
      <w:r>
        <w:rPr>
          <w:highlight w:val="white"/>
        </w:rPr>
      </w:r>
      <w:bookmarkStart w:id="11" w:name="OLE_LINK1"/>
      <w:r>
        <w:rPr>
          <w:highlight w:val="white"/>
        </w:rPr>
      </w:r>
      <w:bookmarkStart w:id="12" w:name="OLE_LINK2"/>
      <w:r>
        <w:rPr>
          <w:bCs/>
          <w:sz w:val="24"/>
          <w:highlight w:val="white"/>
        </w:rPr>
        <w:t xml:space="preserve">По настоящему ТЗ устанавливаются лимиты ответственности Страховщика по следующим видам медицинских услуг, входящих в риск 3.1. проекта Договора страховани</w:t>
      </w:r>
      <w:r>
        <w:rPr>
          <w:bCs/>
          <w:sz w:val="24"/>
          <w:highlight w:val="white"/>
        </w:rPr>
        <w:t xml:space="preserve">я: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4"/>
        </w:numPr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«Экстренная и неотложная помощь за пределами РФ»: на каждое Застрахованное лицо устанавливается лимит ответственности Страховщика в размере Рублевый эквивалент 100 000 (Сто тысяч) долларов США.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2"/>
          <w:numId w:val="34"/>
        </w:numPr>
        <w:ind w:left="0" w:firstLine="284"/>
        <w:rPr>
          <w:i/>
          <w:iCs/>
          <w:sz w:val="24"/>
          <w:highlight w:val="white"/>
        </w:rPr>
      </w:pPr>
      <w:r>
        <w:rPr>
          <w:sz w:val="24"/>
          <w:highlight w:val="white"/>
        </w:rPr>
        <w:t xml:space="preserve">Лимит ответственности Страховщика в отношении всех Застрах</w:t>
      </w:r>
      <w:r>
        <w:rPr>
          <w:sz w:val="24"/>
          <w:highlight w:val="white"/>
        </w:rPr>
        <w:t xml:space="preserve">ованных </w:t>
      </w:r>
      <w:r>
        <w:rPr>
          <w:sz w:val="24"/>
          <w:highlight w:val="white"/>
        </w:rPr>
        <w:t xml:space="preserve">лиц по Программе страх</w:t>
      </w:r>
      <w:r>
        <w:rPr>
          <w:sz w:val="24"/>
          <w:highlight w:val="white"/>
        </w:rPr>
        <w:t xml:space="preserve">ования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«</w:t>
      </w:r>
      <w:r>
        <w:rPr>
          <w:sz w:val="24"/>
          <w:highlight w:val="white"/>
        </w:rPr>
        <w:t xml:space="preserve">2</w:t>
      </w:r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по оплате медицинских услуг, включенных в Программу, при обращении Застрахованного лица за получением медицинских услуг, связанных с оказанием экстренной медицинской помощи на территории РФ силами санитарной авиации</w:t>
      </w:r>
      <w:r>
        <w:rPr>
          <w:sz w:val="24"/>
          <w:highlight w:val="white"/>
        </w:rPr>
        <w:t xml:space="preserve">, в случаях, когда Застрахованному лицу необходима экстренная </w:t>
      </w:r>
      <w:r>
        <w:rPr>
          <w:sz w:val="24"/>
          <w:highlight w:val="white"/>
        </w:rPr>
        <w:t xml:space="preserve">медицинская помощь,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организаций, могущих оказат</w:t>
      </w:r>
      <w:r>
        <w:rPr>
          <w:sz w:val="24"/>
          <w:highlight w:val="white"/>
        </w:rPr>
        <w:t xml:space="preserve">ь первичную медицинскую помощь Застрахованному лицу, с проведением во время транспортировки мероприятий по оказанию медицинской помощи, в том числе с применением медицинского оборудования и если эти услуги организованы Страховщиком составляет </w:t>
      </w:r>
      <w:r>
        <w:rPr>
          <w:i/>
          <w:iCs/>
          <w:sz w:val="24"/>
          <w:highlight w:val="white"/>
        </w:rPr>
        <w:t xml:space="preserve">3 004 214 436</w:t>
      </w:r>
      <w:r>
        <w:rPr>
          <w:i/>
          <w:iCs/>
          <w:sz w:val="24"/>
          <w:highlight w:val="white"/>
        </w:rPr>
        <w:t xml:space="preserve">,00 (Три миллиарда четыре миллиона двести четырнадцать тысяч четыреста тридцать шесть) рублей 00 копеек.</w:t>
      </w:r>
      <w:r>
        <w:rPr>
          <w:i/>
          <w:iCs/>
          <w:sz w:val="24"/>
          <w:highlight w:val="white"/>
        </w:rPr>
      </w:r>
      <w:r>
        <w:rPr>
          <w:i/>
          <w:iCs/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firstLine="709"/>
        <w:tabs>
          <w:tab w:val="left" w:pos="0" w:leader="none"/>
        </w:tabs>
        <w:rPr>
          <w:i/>
          <w:iCs/>
          <w:sz w:val="24"/>
          <w:highlight w:val="white"/>
        </w:rPr>
      </w:pPr>
      <w:r>
        <w:rPr>
          <w:b/>
          <w:sz w:val="24"/>
          <w:highlight w:val="white"/>
        </w:rPr>
        <w:t xml:space="preserve">10.5.3.</w:t>
      </w:r>
      <w:r>
        <w:rPr>
          <w:sz w:val="24"/>
          <w:highlight w:val="white"/>
        </w:rPr>
        <w:t xml:space="preserve"> Лимит ответственности Страховщика в отношении всех Застрахованных лиц по Программе страхования </w:t>
      </w:r>
      <w:r>
        <w:rPr>
          <w:sz w:val="24"/>
          <w:highlight w:val="white"/>
        </w:rPr>
        <w:t xml:space="preserve">«2»</w:t>
      </w:r>
      <w:r>
        <w:rPr>
          <w:sz w:val="24"/>
          <w:highlight w:val="white"/>
        </w:rPr>
        <w:t xml:space="preserve"> по оплате медицинских услуг, включенных в Пр</w:t>
      </w:r>
      <w:r>
        <w:rPr>
          <w:sz w:val="24"/>
          <w:highlight w:val="white"/>
        </w:rPr>
        <w:t xml:space="preserve">ограмму, при обращении Застрахованного лица в медицинские организации из числа предусмотренных настоящим Договором страхования, за исключением медицинских услуг, указанных в п.4.8 настоящего Договора, устанавливается в </w:t>
      </w:r>
      <w:r>
        <w:rPr>
          <w:sz w:val="24"/>
          <w:highlight w:val="white"/>
        </w:rPr>
        <w:t xml:space="preserve">размере </w:t>
      </w:r>
      <w:r>
        <w:rPr>
          <w:i/>
          <w:iCs/>
          <w:sz w:val="24"/>
          <w:highlight w:val="white"/>
        </w:rPr>
        <w:t xml:space="preserve">4 000 000 (Четыре миллиона) </w:t>
      </w:r>
      <w:r>
        <w:rPr>
          <w:i/>
          <w:iCs/>
          <w:sz w:val="24"/>
          <w:highlight w:val="white"/>
        </w:rPr>
        <w:t xml:space="preserve">рублей 00 копеек.</w:t>
      </w:r>
      <w:r>
        <w:rPr>
          <w:i/>
          <w:iCs/>
          <w:sz w:val="24"/>
          <w:highlight w:val="white"/>
        </w:rPr>
        <w:t xml:space="preserve"> </w:t>
      </w:r>
      <w:r>
        <w:rPr>
          <w:i/>
          <w:iCs/>
          <w:sz w:val="24"/>
          <w:highlight w:val="white"/>
        </w:rPr>
      </w:r>
      <w:r>
        <w:rPr>
          <w:i/>
          <w:iCs/>
          <w:sz w:val="24"/>
          <w:highlight w:val="white"/>
        </w:rPr>
      </w:r>
    </w:p>
    <w:p>
      <w:pPr>
        <w:pStyle w:val="969"/>
        <w:numPr>
          <w:ilvl w:val="1"/>
          <w:numId w:val="39"/>
        </w:numPr>
        <w:tabs>
          <w:tab w:val="left" w:pos="1134" w:leader="none"/>
        </w:tabs>
        <w:rPr>
          <w:bCs/>
          <w:sz w:val="24"/>
          <w:highlight w:val="white"/>
        </w:rPr>
      </w:pPr>
      <w:r>
        <w:rPr>
          <w:sz w:val="24"/>
          <w:highlight w:val="white"/>
        </w:rPr>
        <w:t xml:space="preserve"> Иные лимиты ответственности Страховщика, не указанные в п. 10.5. настоящего Технического задания, по всем видам оказываемых медицинских у</w:t>
      </w:r>
      <w:r>
        <w:rPr>
          <w:sz w:val="24"/>
          <w:highlight w:val="white"/>
        </w:rPr>
        <w:t xml:space="preserve">слуг и рискам не предусматриваются.</w:t>
      </w:r>
      <w:bookmarkEnd w:id="11"/>
      <w:r>
        <w:rPr>
          <w:highlight w:val="white"/>
        </w:rPr>
      </w:r>
      <w:bookmarkEnd w:id="12"/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2"/>
        </w:numPr>
        <w:ind w:firstLine="349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Форма, сроки и порядок оплаты услуг</w:t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ind w:left="709" w:firstLine="0"/>
        <w:tabs>
          <w:tab w:val="left" w:pos="0" w:leader="none"/>
          <w:tab w:val="left" w:pos="255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tbl>
      <w:tblPr>
        <w:tblW w:w="99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703"/>
        <w:gridCol w:w="2552"/>
        <w:gridCol w:w="2537"/>
      </w:tblGrid>
      <w:tr>
        <w:tblPrEx/>
        <w:trPr>
          <w:jc w:val="center"/>
          <w:trHeight w:val="713"/>
        </w:trPr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Взнос №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Размер, руб.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Оплатить не позднее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W w:w="2537" w:type="dxa"/>
            <w:vAlign w:val="center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Соответствующий период страхования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r>
            <w:r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30.12.2024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26.12.2024-25.12.2025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r>
            <w:r>
              <w:rPr>
                <w:rFonts w:ascii="Calibri" w:hAnsi="Calibri"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30.06.2025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</w:r>
            <w:r>
              <w:rPr>
                <w:rFonts w:eastAsia="Calibri"/>
                <w:bCs/>
                <w:sz w:val="20"/>
                <w:szCs w:val="20"/>
                <w:lang w:val="en-US"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30.12.2025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26.12.2025-25.12.2026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4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30.06.2026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30.12.2026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26.12.2026-25.12.2027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 w:firstLine="0"/>
              <w:jc w:val="left"/>
              <w:tabs>
                <w:tab w:val="left" w:pos="0" w:leader="none"/>
                <w:tab w:val="left" w:pos="1276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0"/>
                <w:szCs w:val="20"/>
                <w:highlight w:val="white"/>
                <w:lang w:eastAsia="en-US"/>
              </w:rPr>
              <w:t xml:space="preserve">30.06.2027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pStyle w:val="1112"/>
        <w:numPr>
          <w:ilvl w:val="0"/>
          <w:numId w:val="14"/>
        </w:numPr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/>
          <w:vanish/>
          <w:sz w:val="24"/>
          <w:szCs w:val="24"/>
          <w:highlight w:val="white"/>
        </w:rPr>
      </w:pPr>
      <w:r>
        <w:rPr>
          <w:rFonts w:ascii="Times New Roman" w:hAnsi="Times New Roman" w:eastAsia="Times New Roman"/>
          <w:vanish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</w:p>
    <w:p>
      <w:pPr>
        <w:pStyle w:val="1112"/>
        <w:numPr>
          <w:ilvl w:val="0"/>
          <w:numId w:val="14"/>
        </w:numPr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/>
          <w:vanish/>
          <w:sz w:val="24"/>
          <w:szCs w:val="24"/>
          <w:highlight w:val="white"/>
        </w:rPr>
      </w:pPr>
      <w:r>
        <w:rPr>
          <w:rFonts w:ascii="Times New Roman" w:hAnsi="Times New Roman" w:eastAsia="Times New Roman"/>
          <w:vanish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</w:p>
    <w:p>
      <w:pPr>
        <w:pStyle w:val="1112"/>
        <w:numPr>
          <w:ilvl w:val="0"/>
          <w:numId w:val="14"/>
        </w:numPr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/>
          <w:vanish/>
          <w:sz w:val="24"/>
          <w:szCs w:val="24"/>
          <w:highlight w:val="white"/>
        </w:rPr>
      </w:pPr>
      <w:r>
        <w:rPr>
          <w:rFonts w:ascii="Times New Roman" w:hAnsi="Times New Roman" w:eastAsia="Times New Roman"/>
          <w:vanish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</w:p>
    <w:p>
      <w:pPr>
        <w:pStyle w:val="1112"/>
        <w:numPr>
          <w:ilvl w:val="0"/>
          <w:numId w:val="14"/>
        </w:numPr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/>
          <w:vanish/>
          <w:sz w:val="24"/>
          <w:szCs w:val="24"/>
          <w:highlight w:val="white"/>
        </w:rPr>
      </w:pPr>
      <w:r>
        <w:rPr>
          <w:rFonts w:ascii="Times New Roman" w:hAnsi="Times New Roman" w:eastAsia="Times New Roman"/>
          <w:vanish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bCs/>
          <w:sz w:val="24"/>
          <w:highlight w:val="white"/>
        </w:rPr>
      </w:pPr>
      <w:r>
        <w:rPr>
          <w:sz w:val="24"/>
          <w:highlight w:val="white"/>
        </w:rPr>
        <w:t xml:space="preserve">Страховая премия уплачивается в форме безналичного перечисления денежных средств на расчетный счет Страховщика, НДС не облагается. 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highlight w:val="white"/>
        </w:rPr>
      </w:r>
      <w:bookmarkStart w:id="15" w:name="_Toc252369633"/>
      <w:r>
        <w:rPr>
          <w:highlight w:val="white"/>
        </w:rPr>
      </w:r>
      <w:bookmarkStart w:id="16" w:name="_Toc252432552"/>
      <w:r>
        <w:rPr>
          <w:highlight w:val="white"/>
        </w:rPr>
      </w:r>
      <w:bookmarkStart w:id="17" w:name="_Toc303684071"/>
      <w:r>
        <w:rPr>
          <w:highlight w:val="white"/>
        </w:rPr>
      </w:r>
      <w:bookmarkStart w:id="18" w:name="_Toc303684317"/>
      <w:r>
        <w:rPr>
          <w:highlight w:val="white"/>
        </w:rPr>
      </w:r>
      <w:bookmarkStart w:id="19" w:name="_Toc303777725"/>
      <w:r>
        <w:rPr>
          <w:highlight w:val="white"/>
        </w:rPr>
      </w:r>
      <w:bookmarkStart w:id="20" w:name="_Toc304196270"/>
      <w:r>
        <w:rPr>
          <w:highlight w:val="white"/>
        </w:rPr>
      </w:r>
      <w:bookmarkStart w:id="21" w:name="_Toc304293579"/>
      <w:r>
        <w:rPr>
          <w:highlight w:val="white"/>
        </w:rPr>
      </w:r>
      <w:bookmarkStart w:id="22" w:name="_Toc308451893"/>
      <w:r>
        <w:rPr>
          <w:sz w:val="24"/>
          <w:highlight w:val="white"/>
        </w:rPr>
        <w:t xml:space="preserve">Страховая премия считается уплаченной с момента списания денежных средств с расчетного счета Страхователя для зачисления на </w:t>
      </w:r>
      <w:r>
        <w:rPr>
          <w:sz w:val="24"/>
          <w:highlight w:val="white"/>
        </w:rPr>
        <w:t xml:space="preserve">расчетный счет Страховщика.</w:t>
      </w:r>
      <w:bookmarkEnd w:id="15"/>
      <w:r>
        <w:rPr>
          <w:highlight w:val="white"/>
        </w:rPr>
      </w:r>
      <w:bookmarkEnd w:id="16"/>
      <w:r>
        <w:rPr>
          <w:highlight w:val="white"/>
        </w:rPr>
      </w:r>
      <w:bookmarkEnd w:id="17"/>
      <w:r>
        <w:rPr>
          <w:highlight w:val="white"/>
        </w:rPr>
      </w:r>
      <w:bookmarkEnd w:id="18"/>
      <w:r>
        <w:rPr>
          <w:highlight w:val="white"/>
        </w:rPr>
      </w:r>
      <w:bookmarkEnd w:id="19"/>
      <w:r>
        <w:rPr>
          <w:highlight w:val="white"/>
        </w:rPr>
      </w:r>
      <w:bookmarkEnd w:id="20"/>
      <w:r>
        <w:rPr>
          <w:highlight w:val="white"/>
        </w:rPr>
      </w:r>
      <w:bookmarkEnd w:id="21"/>
      <w:r>
        <w:rPr>
          <w:highlight w:val="white"/>
        </w:rPr>
      </w:r>
      <w:bookmarkEnd w:id="22"/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highlight w:val="white"/>
        </w:rPr>
      </w:r>
      <w:bookmarkStart w:id="23" w:name="_Toc308451894"/>
      <w:r>
        <w:rPr>
          <w:sz w:val="24"/>
          <w:highlight w:val="white"/>
        </w:rPr>
        <w:t xml:space="preserve">При изменении в составе Застрахованных лиц страховая премия уплачивается Страхователем за каждого нового Застрахованного в объеме, пропорциональном оставшемуся сроку страхования (в днях).</w:t>
      </w:r>
      <w:bookmarkEnd w:id="23"/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highlight w:val="white"/>
        </w:rPr>
      </w:r>
      <w:bookmarkStart w:id="24" w:name="_Toc308451895"/>
      <w:r>
        <w:rPr>
          <w:sz w:val="24"/>
          <w:highlight w:val="white"/>
        </w:rPr>
        <w:t xml:space="preserve">При замене действующих Программ страхова</w:t>
      </w:r>
      <w:r>
        <w:rPr>
          <w:sz w:val="24"/>
          <w:highlight w:val="white"/>
        </w:rPr>
        <w:t xml:space="preserve">ния в отношении уже Застрахованных лиц по Договору, дополнительная страховая премия рассчитывается пропорционально времени (в днях), прошедшему с момента такого изменения программы до момента истечения срока действия Договора, установленного Сторонами при </w:t>
      </w:r>
      <w:r>
        <w:rPr>
          <w:sz w:val="24"/>
          <w:highlight w:val="white"/>
        </w:rPr>
        <w:t xml:space="preserve">его заключении.</w:t>
      </w:r>
      <w:bookmarkEnd w:id="24"/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highlight w:val="white"/>
        </w:rPr>
      </w:r>
      <w:bookmarkStart w:id="25" w:name="_Toc308451896"/>
      <w:r>
        <w:rPr>
          <w:sz w:val="24"/>
          <w:highlight w:val="white"/>
        </w:rPr>
        <w:t xml:space="preserve">При досрочном прекращении Договора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суммы страховых премий за Застрахованных, в отнош</w:t>
      </w:r>
      <w:r>
        <w:rPr>
          <w:sz w:val="24"/>
          <w:highlight w:val="white"/>
        </w:rPr>
        <w:t xml:space="preserve">ении которых прекращается Договор,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Договор. </w:t>
      </w:r>
      <w:bookmarkEnd w:id="25"/>
      <w:r>
        <w:rPr>
          <w:sz w:val="24"/>
          <w:highlight w:val="white"/>
        </w:rPr>
        <w:t xml:space="preserve">Рассчитанная сумма подлежит возврату Страхователю в теч</w:t>
      </w:r>
      <w:r>
        <w:rPr>
          <w:sz w:val="24"/>
          <w:highlight w:val="white"/>
        </w:rPr>
        <w:t xml:space="preserve">ение 10 (десяти) банковских дней или может быть учтена при дальнейших взаиморасчетах Сторон.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Застрахованного, допо</w:t>
      </w:r>
      <w:r>
        <w:rPr>
          <w:sz w:val="24"/>
          <w:highlight w:val="white"/>
        </w:rPr>
        <w:t xml:space="preserve">лнительный страховой взнос не уплачивается.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ind w:left="709" w:firstLine="0"/>
        <w:tabs>
          <w:tab w:val="left" w:pos="1560" w:leader="none"/>
        </w:tabs>
        <w:rPr>
          <w:b/>
          <w:bCs/>
          <w:sz w:val="24"/>
          <w:highlight w:val="white"/>
        </w:rPr>
      </w:pP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  <w:r>
        <w:rPr>
          <w:b/>
          <w:bCs/>
          <w:sz w:val="24"/>
          <w:highlight w:val="white"/>
        </w:rPr>
      </w:r>
    </w:p>
    <w:p>
      <w:pPr>
        <w:numPr>
          <w:ilvl w:val="0"/>
          <w:numId w:val="12"/>
        </w:numPr>
        <w:ind w:firstLine="349"/>
        <w:tabs>
          <w:tab w:val="left" w:pos="0" w:leader="none"/>
          <w:tab w:val="left" w:pos="255" w:leader="none"/>
        </w:tabs>
        <w:rPr>
          <w:b/>
          <w:sz w:val="24"/>
          <w:highlight w:val="white"/>
        </w:rPr>
      </w:pPr>
      <w:r>
        <w:rPr>
          <w:b/>
          <w:bCs/>
          <w:sz w:val="24"/>
          <w:highlight w:val="white"/>
        </w:rPr>
        <w:t xml:space="preserve">Контроль и отчетность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1112"/>
        <w:numPr>
          <w:ilvl w:val="0"/>
          <w:numId w:val="14"/>
        </w:numPr>
        <w:jc w:val="both"/>
        <w:spacing w:after="0" w:line="240" w:lineRule="auto"/>
        <w:tabs>
          <w:tab w:val="left" w:pos="1418" w:leader="none"/>
        </w:tabs>
        <w:rPr>
          <w:rFonts w:ascii="Times New Roman" w:hAnsi="Times New Roman" w:eastAsia="Times New Roman"/>
          <w:vanish/>
          <w:sz w:val="24"/>
          <w:szCs w:val="24"/>
          <w:highlight w:val="white"/>
        </w:rPr>
      </w:pPr>
      <w:r>
        <w:rPr>
          <w:rFonts w:ascii="Times New Roman" w:hAnsi="Times New Roman" w:eastAsia="Times New Roman"/>
          <w:vanish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  <w:r>
        <w:rPr>
          <w:rFonts w:ascii="Times New Roman" w:hAnsi="Times New Roman" w:eastAsia="Times New Roman"/>
          <w:vanish/>
          <w:sz w:val="24"/>
          <w:szCs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Страховщик осуществляет контроль по объемам, срокам и качеству медицинской помощи, оказываемой Застрахованным в соответствии с программами </w:t>
      </w:r>
      <w:r>
        <w:rPr>
          <w:bCs/>
          <w:sz w:val="24"/>
          <w:highlight w:val="white"/>
        </w:rPr>
        <w:t xml:space="preserve">страхования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69"/>
        <w:numPr>
          <w:ilvl w:val="1"/>
          <w:numId w:val="14"/>
        </w:numPr>
        <w:ind w:left="0" w:firstLine="709"/>
        <w:tabs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Страховщик оказывает услуги в рамках договора страхования в соответствии с требованиями к уровню и качеству сервиса, указанными в Приложении 8 </w:t>
      </w:r>
      <w:r>
        <w:rPr>
          <w:sz w:val="24"/>
        </w:rPr>
        <w:t xml:space="preserve">к</w:t>
      </w:r>
      <w:r>
        <w:rPr>
          <w:sz w:val="24"/>
        </w:rPr>
        <w:t xml:space="preserve"> </w:t>
      </w:r>
      <w:r>
        <w:rPr>
          <w:sz w:val="24"/>
        </w:rPr>
        <w:t xml:space="preserve">настоящему Техническому заданию</w:t>
      </w:r>
      <w:r>
        <w:rPr>
          <w:sz w:val="24"/>
          <w:highlight w:val="white"/>
        </w:rPr>
        <w:t xml:space="preserve">, а в случае их полного или частичного несоблюдения Страховщик обязан по требованию Страхователя уплати</w:t>
      </w:r>
      <w:r>
        <w:rPr>
          <w:sz w:val="24"/>
          <w:highlight w:val="white"/>
        </w:rPr>
        <w:t xml:space="preserve">ть штраф, размеры которого определены в Приложении 5 </w:t>
      </w:r>
      <w:r>
        <w:rPr>
          <w:sz w:val="24"/>
        </w:rPr>
        <w:t xml:space="preserve">к</w:t>
      </w:r>
      <w:r>
        <w:rPr>
          <w:sz w:val="24"/>
        </w:rPr>
        <w:t xml:space="preserve"> </w:t>
      </w:r>
      <w:r>
        <w:rPr>
          <w:sz w:val="24"/>
        </w:rPr>
        <w:t xml:space="preserve">настоящему Техническому заданию</w:t>
      </w:r>
      <w:r>
        <w:rPr>
          <w:sz w:val="24"/>
          <w:highlight w:val="white"/>
        </w:rPr>
        <w:t xml:space="preserve">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1"/>
          <w:numId w:val="14"/>
        </w:numPr>
        <w:ind w:left="0" w:firstLine="709"/>
        <w:tabs>
          <w:tab w:val="left" w:pos="993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Страховщик на ежеквартальной основе в срок до 10 числа месяца, следующего за отчетным кварталом, предоставляет Страхователю статистическую и отчетную информацию об оказании медицинских услуг</w:t>
      </w:r>
      <w:r>
        <w:rPr>
          <w:sz w:val="24"/>
          <w:highlight w:val="white"/>
        </w:rPr>
        <w:t xml:space="preserve"> Застрахованным, о произведенных страховых выплатах Застрахованным по Договору страхования по форме, указанной в Приложении 7 </w:t>
      </w:r>
      <w:r>
        <w:rPr>
          <w:sz w:val="24"/>
        </w:rPr>
        <w:t xml:space="preserve">к</w:t>
      </w:r>
      <w:r>
        <w:rPr>
          <w:sz w:val="24"/>
        </w:rPr>
        <w:t xml:space="preserve"> </w:t>
      </w:r>
      <w:r>
        <w:rPr>
          <w:sz w:val="24"/>
        </w:rPr>
        <w:t xml:space="preserve">настоящему Техническому заданию</w:t>
      </w:r>
      <w:r>
        <w:rPr>
          <w:sz w:val="24"/>
          <w:highlight w:val="white"/>
        </w:rPr>
        <w:t xml:space="preserve">, а также, по отдельному запросу Страхователя – детализированный отчёт по дополнительным, конкретизированным Страховате</w:t>
      </w:r>
      <w:r>
        <w:rPr>
          <w:sz w:val="24"/>
          <w:highlight w:val="white"/>
        </w:rPr>
        <w:t xml:space="preserve">лем критериям. В случае, если Страховщик вносит корректировку в предоставленный ранее отчет, Страхователь вправе запросить у Страховщика письменное обоснование внесенных изменений. Отчет или дополнительные конкретизированные критерии Страховщик предоставля</w:t>
      </w:r>
      <w:r>
        <w:rPr>
          <w:sz w:val="24"/>
          <w:highlight w:val="white"/>
        </w:rPr>
        <w:t xml:space="preserve">ет в соответствии с требованиями действующих законодательных актов РФ.</w:t>
      </w:r>
      <w:bookmarkEnd w:id="1"/>
      <w:r>
        <w:rPr>
          <w:highlight w:val="white"/>
        </w:rPr>
      </w:r>
      <w:bookmarkEnd w:id="2"/>
      <w:r>
        <w:rPr>
          <w:highlight w:val="white"/>
        </w:rPr>
      </w:r>
      <w:bookmarkEnd w:id="3"/>
      <w:r>
        <w:rPr>
          <w:highlight w:val="white"/>
        </w:rPr>
      </w:r>
      <w:bookmarkEnd w:id="4"/>
      <w:r>
        <w:rPr>
          <w:highlight w:val="white"/>
        </w:rPr>
      </w:r>
      <w:bookmarkEnd w:id="5"/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left="1702" w:hanging="851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right="-1" w:firstLine="0"/>
        <w:jc w:val="left"/>
        <w:tabs>
          <w:tab w:val="left" w:pos="0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89"/>
        <w:numPr>
          <w:ilvl w:val="0"/>
          <w:numId w:val="0"/>
        </w:numPr>
        <w:ind w:left="1702" w:hanging="851"/>
        <w:rPr>
          <w:b/>
          <w:sz w:val="24"/>
        </w:rPr>
      </w:pPr>
      <w:r>
        <w:rPr>
          <w:b/>
          <w:sz w:val="24"/>
        </w:rPr>
        <w:t xml:space="preserve">13.</w:t>
      </w:r>
      <w:r>
        <w:rPr>
          <w:b/>
          <w:sz w:val="24"/>
        </w:rPr>
        <w:tab/>
        <w:t xml:space="preserve">Приложения: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89"/>
        <w:numPr>
          <w:ilvl w:val="0"/>
          <w:numId w:val="0"/>
        </w:numPr>
        <w:ind w:left="1702" w:hanging="851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1: Проект Договора добровольного личного страхования;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2: Программы страхования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3: Таблица размеров страховых выплат в связи с несчастным случаем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4: Условия о применении Франшизы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5: Перечень штрафов, уплачиваемых Страховщиком при нарушениях исполнения договора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6: Перечень лечебно-профилактических учреждений (ЛПУ), подлежащих включению в программы страхования;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7: Отчет о страховых выплатах по программам страхования;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sz w:val="24"/>
        </w:rPr>
      </w:pPr>
      <w:r>
        <w:rPr>
          <w:sz w:val="24"/>
        </w:rPr>
        <w:t xml:space="preserve">Приложение 8: Требования к личному кабинету Страхователя и Застрахованного.</w:t>
      </w:r>
      <w:r>
        <w:rPr>
          <w:sz w:val="24"/>
        </w:rPr>
      </w:r>
      <w:r>
        <w:rPr>
          <w:sz w:val="24"/>
        </w:rPr>
      </w:r>
    </w:p>
    <w:p>
      <w:pPr>
        <w:ind w:right="-1" w:firstLine="0"/>
        <w:tabs>
          <w:tab w:val="left" w:pos="851" w:leader="none"/>
          <w:tab w:val="left" w:pos="1276" w:leader="none"/>
        </w:tabs>
        <w:rPr>
          <w:bCs/>
          <w:sz w:val="24"/>
        </w:rPr>
      </w:pPr>
      <w:r>
        <w:rPr>
          <w:sz w:val="24"/>
        </w:rPr>
        <w:t xml:space="preserve">Приложение 9: Форма памятки застрахованного сотрудника.</w:t>
      </w:r>
      <w:r>
        <w:rPr>
          <w:bCs/>
          <w:sz w:val="24"/>
        </w:rPr>
      </w:r>
      <w:r>
        <w:rPr>
          <w:bCs/>
          <w:sz w:val="24"/>
        </w:rPr>
      </w:r>
    </w:p>
    <w:p>
      <w:pPr>
        <w:ind w:left="709" w:right="-1" w:firstLine="0"/>
        <w:tabs>
          <w:tab w:val="left" w:pos="851" w:leader="none"/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991" w:bottom="993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Optima">
    <w:panose1 w:val="020B0502050508020304"/>
  </w:font>
  <w:font w:name="Journal">
    <w:panose1 w:val="02000603000000000000"/>
  </w:font>
  <w:font w:name="Verdana">
    <w:panose1 w:val="020B0604030504040204"/>
  </w:font>
  <w:font w:name="Courier New">
    <w:panose1 w:val="02070309020205020404"/>
  </w:font>
  <w:font w:name="CG Times">
    <w:panose1 w:val="02020603050405020304"/>
  </w:font>
  <w:font w:name="Calibri">
    <w:panose1 w:val="020F05020202040302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31573157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isLgl w:val="false"/>
      <w:suff w:val="tab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66" w:hanging="1065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156" w:hanging="1485"/>
        <w:tabs>
          <w:tab w:val="num" w:pos="7156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9" w:hanging="1485"/>
        <w:tabs>
          <w:tab w:val="num" w:pos="1769" w:leader="none"/>
        </w:tabs>
      </w:pPr>
      <w:rPr>
        <w:rFonts w:hint="default" w:ascii="Times New Roman" w:hAnsi="Times New Roman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 w:ascii="Times New Roman" w:hAnsi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lowerLetter"/>
      <w:pStyle w:val="1070"/>
      <w:isLgl w:val="false"/>
      <w:suff w:val="tab"/>
      <w:lvlText w:val="%1)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1134"/>
        <w:tabs>
          <w:tab w:val="num" w:pos="1560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none"/>
      <w:pStyle w:val="1082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8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" w:firstLine="567"/>
        <w:tabs>
          <w:tab w:val="num" w:pos="1248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­"/>
      <w:lvlJc w:val="left"/>
      <w:pPr>
        <w:ind w:left="1" w:firstLine="567"/>
        <w:tabs>
          <w:tab w:val="num" w:pos="1248" w:leader="none"/>
        </w:tabs>
      </w:pPr>
      <w:rPr>
        <w:rFonts w:hint="default" w:ascii="Courier New" w:hAnsi="Courier New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pStyle w:val="106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840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01" w:hanging="360"/>
      </w:pPr>
      <w:rPr>
        <w:rFonts w:hint="default"/>
        <w:color w:val="ffffff" w:themeColor="background1"/>
      </w:rPr>
    </w:lvl>
    <w:lvl w:ilvl="1">
      <w:start w:val="1"/>
      <w:numFmt w:val="decimal"/>
      <w:isLgl w:val="false"/>
      <w:suff w:val="tab"/>
      <w:lvlText w:val="%1.%2."/>
      <w:lvlJc w:val="left"/>
      <w:pPr>
        <w:ind w:left="179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" w:firstLine="567"/>
        <w:tabs>
          <w:tab w:val="num" w:pos="1248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66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40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2" w:hanging="1080"/>
      </w:pPr>
      <w:rPr>
        <w:rFonts w:hint="default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" w:firstLine="567"/>
        <w:tabs>
          <w:tab w:val="num" w:pos="1248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989"/>
      <w:isLgl w:val="false"/>
      <w:suff w:val="tab"/>
      <w:lvlText w:val="%1.%2"/>
      <w:lvlJc w:val="left"/>
      <w:pPr>
        <w:ind w:left="1702" w:hanging="851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990"/>
      <w:isLgl w:val="false"/>
      <w:suff w:val="tab"/>
      <w:lvlText w:val="%1.%2.%3"/>
      <w:lvlJc w:val="left"/>
      <w:pPr>
        <w:ind w:left="143" w:firstLine="567"/>
        <w:tabs>
          <w:tab w:val="num" w:pos="1561" w:leader="none"/>
        </w:tabs>
      </w:pPr>
      <w:rPr>
        <w:rFonts w:hint="default" w:cs="Times New Roman"/>
        <w:b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50" w:hanging="720"/>
      </w:pPr>
      <w:rPr>
        <w:rFonts w:hint="default" w:ascii="Symbol" w:hAnsi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</w:pPr>
      <w:rPr>
        <w:rFonts w:hint="default" w:ascii="Times New Roman" w:hAnsi="Times New Roman" w:cs="Times New Roman"/>
        <w:b w:val="0"/>
        <w:color w:val="000000" w:themeColor="text1"/>
      </w:rPr>
    </w:lvl>
    <w:lvl w:ilvl="2">
      <w:start w:val="1"/>
      <w:numFmt w:val="upperRoman"/>
      <w:isLgl w:val="false"/>
      <w:suff w:val="tab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suff w:val="tab"/>
      <w:lvlText w:val="%4."/>
      <w:lvlJc w:val="left"/>
      <w:pPr>
        <w:ind w:left="1429" w:hanging="720"/>
      </w:pPr>
      <w:rPr>
        <w:rFonts w:ascii="Times New Roman" w:hAnsi="Times New Roman" w:eastAsia="Times New Roman" w:cs="Times New Roman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CG Times" w:hAnsi="CG Times"/>
        <w:b/>
        <w:sz w:val="24"/>
      </w:rPr>
    </w:lvl>
    <w:lvl w:ilvl="1">
      <w:start w:val="1"/>
      <w:numFmt w:val="decimal"/>
      <w:isLgl w:val="false"/>
      <w:suff w:val="tab"/>
      <w:lvlText w:val="%2"/>
      <w:lvlJc w:val="left"/>
      <w:pPr/>
    </w:lvl>
    <w:lvl w:ilvl="2">
      <w:start w:val="1"/>
      <w:numFmt w:val="decimal"/>
      <w:isLgl w:val="false"/>
      <w:suff w:val="tab"/>
      <w:lvlText w:val="%3"/>
      <w:lvlJc w:val="left"/>
      <w:pPr/>
    </w:lvl>
    <w:lvl w:ilvl="3">
      <w:start w:val="1"/>
      <w:numFmt w:val="decimal"/>
      <w:isLgl w:val="false"/>
      <w:suff w:val="tab"/>
      <w:lvlText w:val="%4"/>
      <w:lvlJc w:val="left"/>
      <w:pPr/>
    </w:lvl>
    <w:lvl w:ilvl="4">
      <w:start w:val="1"/>
      <w:numFmt w:val="decimal"/>
      <w:pStyle w:val="1102"/>
      <w:isLgl w:val="false"/>
      <w:suff w:val="tab"/>
      <w:lvlText w:val="%5"/>
      <w:lvlJc w:val="left"/>
      <w:pPr/>
    </w:lvl>
    <w:lvl w:ilvl="5">
      <w:start w:val="1"/>
      <w:numFmt w:val="decimal"/>
      <w:isLgl w:val="false"/>
      <w:suff w:val="tab"/>
      <w:lvlText w:val="%6"/>
      <w:lvlJc w:val="left"/>
      <w:pPr/>
    </w:lvl>
    <w:lvl w:ilvl="6">
      <w:start w:val="1"/>
      <w:numFmt w:val="decimal"/>
      <w:isLgl w:val="false"/>
      <w:suff w:val="tab"/>
      <w:lvlText w:val="%7"/>
      <w:lvlJc w:val="left"/>
      <w:pPr/>
    </w:lvl>
    <w:lvl w:ilvl="7">
      <w:start w:val="1"/>
      <w:numFmt w:val="decimal"/>
      <w:isLgl w:val="false"/>
      <w:suff w:val="tab"/>
      <w:lvlText w:val="%8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3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22" w:hanging="480"/>
      </w:pPr>
      <w:rPr>
        <w:rFonts w:hint="default" w:ascii="Times New Roman" w:hAnsi="Times New Roman"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50" w:hanging="720"/>
      </w:pPr>
      <w:rPr>
        <w:rFonts w:hint="default" w:ascii="Symbol" w:hAnsi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40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8"/>
  </w:num>
  <w:num w:numId="2">
    <w:abstractNumId w:val="6"/>
  </w:num>
  <w:num w:numId="3">
    <w:abstractNumId w:val="26"/>
  </w:num>
  <w:num w:numId="4">
    <w:abstractNumId w:val="15"/>
  </w:num>
  <w:num w:numId="5">
    <w:abstractNumId w:val="5"/>
  </w:num>
  <w:num w:numId="6">
    <w:abstractNumId w:val="9"/>
  </w:num>
  <w:num w:numId="7">
    <w:abstractNumId w:val="32"/>
    <w:lvlOverride w:ilvl="0">
      <w:lvl w:ilvl="0">
        <w:start w:val="1"/>
        <w:numFmt w:val="decimal"/>
        <w:pStyle w:val="1101"/>
        <w:isLgl w:val="false"/>
        <w:suff w:val="tab"/>
        <w:lvlText w:val="%1."/>
        <w:lvlJc w:val="left"/>
        <w:pPr>
          <w:ind w:left="567" w:hanging="567"/>
          <w:tabs>
            <w:tab w:val="num" w:pos="567" w:leader="none"/>
          </w:tabs>
        </w:pPr>
        <w:rPr>
          <w:rFonts w:hint="default" w:ascii="Optima" w:hAnsi="Optima"/>
          <w:b/>
          <w:i w:val="0"/>
          <w:sz w:val="32"/>
        </w:rPr>
      </w:lvl>
    </w:lvlOverride>
    <w:lvlOverride w:ilvl="1">
      <w:lvl w:ilvl="1">
        <w:start w:val="1"/>
        <w:numFmt w:val="none"/>
        <w:isLgl w:val="false"/>
        <w:suff w:val="tab"/>
        <w:lvlText w:val=""/>
        <w:lvlJc w:val="left"/>
        <w:pPr>
          <w:ind w:left="0" w:firstLine="0"/>
          <w:tabs>
            <w:tab w:val="num" w:pos="360" w:leader="none"/>
          </w:tabs>
        </w:pPr>
        <w:rPr>
          <w:rFonts w:hint="default" w:ascii="Optima" w:hAnsi="Optima"/>
          <w:b w:val="0"/>
          <w:i w:val="0"/>
          <w:sz w:val="22"/>
        </w:rPr>
      </w:lvl>
    </w:lvlOverride>
    <w:lvlOverride w:ilvl="2">
      <w:lvl w:ilvl="2">
        <w:start w:val="1"/>
        <w:numFmt w:val="decimal"/>
        <w:isLgl w:val="false"/>
        <w:suff w:val="tab"/>
        <w:lvlText w:val="4.%2%3"/>
        <w:lvlJc w:val="left"/>
        <w:pPr>
          <w:ind w:left="567" w:hanging="567"/>
          <w:tabs>
            <w:tab w:val="num" w:pos="567" w:leader="none"/>
          </w:tabs>
        </w:pPr>
        <w:rPr>
          <w:rFonts w:hint="default" w:ascii="Optima" w:hAnsi="Optima"/>
          <w:b w:val="0"/>
          <w:i w:val="0"/>
          <w:sz w:val="22"/>
        </w:rPr>
      </w:lvl>
    </w:lvlOverride>
    <w:lvlOverride w:ilvl="3">
      <w:lvl w:ilvl="3">
        <w:start w:val="1"/>
        <w:numFmt w:val="lowerRoman"/>
        <w:isLgl w:val="false"/>
        <w:suff w:val="tab"/>
        <w:lvlText w:val="(%4)"/>
        <w:lvlJc w:val="left"/>
        <w:pPr>
          <w:ind w:left="1134" w:hanging="567"/>
          <w:tabs>
            <w:tab w:val="num" w:pos="-31680" w:leader="none"/>
          </w:tabs>
        </w:pPr>
        <w:rPr>
          <w:rFonts w:hint="default" w:ascii="Arial" w:hAnsi="Arial" w:cs="Arial"/>
          <w:b w:val="0"/>
          <w:i w:val="0"/>
          <w:caps w:val="0"/>
          <w:sz w:val="18"/>
          <w:szCs w:val="18"/>
        </w:rPr>
      </w:lvl>
    </w:lvlOverride>
    <w:lvlOverride w:ilvl="4">
      <w:lvl w:ilvl="4">
        <w:start w:val="1"/>
        <w:numFmt w:val="lowerLetter"/>
        <w:pStyle w:val="1102"/>
        <w:isLgl w:val="false"/>
        <w:suff w:val="tab"/>
        <w:lvlText w:val="(%5)"/>
        <w:lvlJc w:val="left"/>
        <w:pPr>
          <w:ind w:left="1702" w:hanging="567"/>
          <w:tabs>
            <w:tab w:val="num" w:pos="1702" w:leader="none"/>
          </w:tabs>
        </w:pPr>
        <w:rPr>
          <w:rFonts w:hint="default" w:ascii="Arial" w:hAnsi="Arial" w:cs="Arial"/>
          <w:b w:val="0"/>
          <w:i w:val="0"/>
          <w:caps w:val="0"/>
          <w:sz w:val="20"/>
          <w:szCs w:val="20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2736" w:hanging="936"/>
          <w:tabs>
            <w:tab w:val="num" w:pos="2736" w:leader="none"/>
          </w:tabs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3240" w:hanging="1080"/>
          <w:tabs>
            <w:tab w:val="num" w:pos="3240" w:leader="none"/>
          </w:tabs>
        </w:pPr>
        <w:rPr>
          <w:rFonts w:hint="default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3744" w:hanging="1224"/>
          <w:tabs>
            <w:tab w:val="num" w:pos="3744" w:leader="none"/>
          </w:tabs>
        </w:pPr>
        <w:rPr>
          <w:rFonts w:hint="default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4320" w:hanging="1440"/>
          <w:tabs>
            <w:tab w:val="num" w:pos="4320" w:leader="none"/>
          </w:tabs>
        </w:pPr>
        <w:rPr>
          <w:rFonts w:hint="default"/>
        </w:rPr>
      </w:lvl>
    </w:lvlOverride>
  </w:num>
  <w:num w:numId="8">
    <w:abstractNumId w:val="10"/>
  </w:num>
  <w:num w:numId="9">
    <w:abstractNumId w:val="11"/>
  </w:num>
  <w:num w:numId="10">
    <w:abstractNumId w:val="24"/>
  </w:num>
  <w:num w:numId="11">
    <w:abstractNumId w:val="31"/>
  </w:num>
  <w:num w:numId="12">
    <w:abstractNumId w:val="19"/>
  </w:num>
  <w:num w:numId="13">
    <w:abstractNumId w:val="29"/>
  </w:num>
  <w:num w:numId="14">
    <w:abstractNumId w:val="18"/>
  </w:num>
  <w:num w:numId="15">
    <w:abstractNumId w:val="16"/>
  </w:num>
  <w:num w:numId="16">
    <w:abstractNumId w:val="2"/>
  </w:num>
  <w:num w:numId="17">
    <w:abstractNumId w:val="12"/>
  </w:num>
  <w:num w:numId="18">
    <w:abstractNumId w:val="13"/>
  </w:num>
  <w:num w:numId="19">
    <w:abstractNumId w:val="34"/>
  </w:num>
  <w:num w:numId="20">
    <w:abstractNumId w:val="27"/>
  </w:num>
  <w:num w:numId="21">
    <w:abstractNumId w:val="14"/>
  </w:num>
  <w:num w:numId="22">
    <w:abstractNumId w:val="1"/>
  </w:num>
  <w:num w:numId="23">
    <w:abstractNumId w:val="25"/>
  </w:num>
  <w:num w:numId="24">
    <w:abstractNumId w:val="7"/>
  </w:num>
  <w:num w:numId="25">
    <w:abstractNumId w:val="36"/>
  </w:num>
  <w:num w:numId="26">
    <w:abstractNumId w:val="23"/>
  </w:num>
  <w:num w:numId="27">
    <w:abstractNumId w:val="17"/>
  </w:num>
  <w:num w:numId="28">
    <w:abstractNumId w:val="30"/>
  </w:num>
  <w:num w:numId="29">
    <w:abstractNumId w:val="21"/>
  </w:num>
  <w:num w:numId="30">
    <w:abstractNumId w:val="4"/>
  </w:num>
  <w:num w:numId="31">
    <w:abstractNumId w:val="8"/>
  </w:num>
  <w:num w:numId="32">
    <w:abstractNumId w:val="3"/>
  </w:num>
  <w:num w:numId="33">
    <w:abstractNumId w:val="35"/>
  </w:num>
  <w:num w:numId="34">
    <w:abstractNumId w:val="33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0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2"/>
  </w:num>
  <w:num w:numId="39">
    <w:abstractNumId w:val="0"/>
  </w:num>
  <w:num w:numId="40">
    <w:abstractNumId w:val="37"/>
  </w:num>
  <w:num w:numId="41">
    <w:abstractNumId w:val="38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 w:default="1">
    <w:name w:val="Normal"/>
    <w:qFormat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61">
    <w:name w:val="Heading 1"/>
    <w:basedOn w:val="760"/>
    <w:next w:val="760"/>
    <w:link w:val="927"/>
    <w:qFormat/>
    <w:pPr>
      <w:ind w:firstLine="0"/>
      <w:jc w:val="center"/>
      <w:keepLines/>
      <w:keepNext/>
      <w:pageBreakBefore/>
      <w:spacing w:before="720" w:after="240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762">
    <w:name w:val="Heading 2"/>
    <w:basedOn w:val="760"/>
    <w:next w:val="760"/>
    <w:link w:val="936"/>
    <w:qFormat/>
    <w:pPr>
      <w:ind w:firstLine="0"/>
      <w:jc w:val="left"/>
      <w:keepNext/>
      <w:spacing w:before="360" w:after="120"/>
      <w:outlineLvl w:val="1"/>
    </w:pPr>
    <w:rPr>
      <w:b/>
      <w:bCs/>
      <w:smallCaps/>
      <w:sz w:val="32"/>
      <w:szCs w:val="28"/>
    </w:rPr>
  </w:style>
  <w:style w:type="paragraph" w:styleId="763">
    <w:name w:val="Heading 3"/>
    <w:basedOn w:val="760"/>
    <w:next w:val="760"/>
    <w:link w:val="929"/>
    <w:uiPriority w:val="9"/>
    <w:qFormat/>
    <w:pPr>
      <w:ind w:firstLine="0"/>
      <w:jc w:val="left"/>
      <w:keepNext/>
      <w:spacing w:before="120" w:after="120"/>
      <w:tabs>
        <w:tab w:val="num" w:pos="2160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764">
    <w:name w:val="Heading 4"/>
    <w:basedOn w:val="760"/>
    <w:next w:val="760"/>
    <w:link w:val="930"/>
    <w:qFormat/>
    <w:pPr>
      <w:ind w:firstLine="0"/>
      <w:keepNext/>
      <w:spacing w:before="240" w:after="120"/>
      <w:tabs>
        <w:tab w:val="left" w:pos="1134" w:leader="none"/>
        <w:tab w:val="num" w:pos="2880" w:leader="none"/>
      </w:tabs>
      <w:outlineLvl w:val="3"/>
    </w:pPr>
    <w:rPr>
      <w:rFonts w:ascii="Calibri" w:hAnsi="Calibri"/>
      <w:b/>
      <w:bCs/>
      <w:szCs w:val="28"/>
    </w:rPr>
  </w:style>
  <w:style w:type="paragraph" w:styleId="765">
    <w:name w:val="Heading 5"/>
    <w:basedOn w:val="760"/>
    <w:next w:val="760"/>
    <w:link w:val="931"/>
    <w:qFormat/>
    <w:pPr>
      <w:ind w:firstLine="0"/>
      <w:keepNext/>
      <w:spacing w:before="60"/>
      <w:tabs>
        <w:tab w:val="num" w:pos="1008" w:leader="none"/>
        <w:tab w:val="num" w:pos="360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66">
    <w:name w:val="Heading 6"/>
    <w:basedOn w:val="760"/>
    <w:next w:val="760"/>
    <w:link w:val="932"/>
    <w:qFormat/>
    <w:pPr>
      <w:ind w:firstLine="0"/>
      <w:spacing w:before="240" w:after="60"/>
      <w:widowControl w:val="off"/>
      <w:tabs>
        <w:tab w:val="num" w:pos="1152" w:leader="none"/>
        <w:tab w:val="num" w:pos="432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767">
    <w:name w:val="Heading 7"/>
    <w:basedOn w:val="760"/>
    <w:next w:val="760"/>
    <w:link w:val="933"/>
    <w:qFormat/>
    <w:pPr>
      <w:ind w:firstLine="0"/>
      <w:spacing w:before="240" w:after="60"/>
      <w:widowControl w:val="off"/>
      <w:tabs>
        <w:tab w:val="num" w:pos="1296" w:leader="none"/>
        <w:tab w:val="num" w:pos="5040" w:leader="none"/>
      </w:tabs>
      <w:outlineLvl w:val="6"/>
    </w:pPr>
    <w:rPr>
      <w:rFonts w:ascii="Calibri" w:hAnsi="Calibri"/>
      <w:sz w:val="24"/>
    </w:rPr>
  </w:style>
  <w:style w:type="paragraph" w:styleId="768">
    <w:name w:val="Heading 8"/>
    <w:basedOn w:val="760"/>
    <w:next w:val="760"/>
    <w:link w:val="934"/>
    <w:qFormat/>
    <w:pPr>
      <w:ind w:firstLine="0"/>
      <w:spacing w:before="240" w:after="60"/>
      <w:widowControl w:val="off"/>
      <w:tabs>
        <w:tab w:val="num" w:pos="1440" w:leader="none"/>
        <w:tab w:val="num" w:pos="5760" w:leader="none"/>
      </w:tabs>
      <w:outlineLvl w:val="7"/>
    </w:pPr>
    <w:rPr>
      <w:rFonts w:ascii="Calibri" w:hAnsi="Calibri"/>
      <w:i/>
      <w:iCs/>
      <w:sz w:val="24"/>
    </w:rPr>
  </w:style>
  <w:style w:type="paragraph" w:styleId="769">
    <w:name w:val="Heading 9"/>
    <w:basedOn w:val="760"/>
    <w:next w:val="760"/>
    <w:link w:val="935"/>
    <w:qFormat/>
    <w:pPr>
      <w:ind w:firstLine="0"/>
      <w:spacing w:before="240" w:after="60"/>
      <w:widowControl w:val="off"/>
      <w:tabs>
        <w:tab w:val="num" w:pos="1584" w:leader="none"/>
        <w:tab w:val="num" w:pos="6480" w:leader="none"/>
      </w:tabs>
      <w:outlineLvl w:val="8"/>
    </w:pPr>
    <w:rPr>
      <w:rFonts w:ascii="Cambria" w:hAnsi="Cambria"/>
      <w:sz w:val="20"/>
      <w:szCs w:val="20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Subtitle Char"/>
    <w:basedOn w:val="770"/>
    <w:uiPriority w:val="11"/>
    <w:rPr>
      <w:sz w:val="24"/>
      <w:szCs w:val="24"/>
    </w:rPr>
  </w:style>
  <w:style w:type="character" w:styleId="774" w:customStyle="1">
    <w:name w:val="Quote Char"/>
    <w:uiPriority w:val="29"/>
    <w:rPr>
      <w:i/>
    </w:rPr>
  </w:style>
  <w:style w:type="character" w:styleId="775" w:customStyle="1">
    <w:name w:val="Intense Quote Char"/>
    <w:uiPriority w:val="30"/>
    <w:rPr>
      <w:i/>
    </w:rPr>
  </w:style>
  <w:style w:type="character" w:styleId="776" w:customStyle="1">
    <w:name w:val="Endnote Text Char"/>
    <w:uiPriority w:val="99"/>
    <w:rPr>
      <w:sz w:val="20"/>
    </w:rPr>
  </w:style>
  <w:style w:type="character" w:styleId="777" w:customStyle="1">
    <w:name w:val="Heading 1 Char"/>
    <w:basedOn w:val="770"/>
    <w:uiPriority w:val="9"/>
    <w:rPr>
      <w:rFonts w:ascii="Arial" w:hAnsi="Arial" w:eastAsia="Arial" w:cs="Arial"/>
      <w:sz w:val="40"/>
      <w:szCs w:val="40"/>
    </w:rPr>
  </w:style>
  <w:style w:type="character" w:styleId="778" w:customStyle="1">
    <w:name w:val="Heading 2 Char"/>
    <w:basedOn w:val="770"/>
    <w:uiPriority w:val="9"/>
    <w:rPr>
      <w:rFonts w:ascii="Arial" w:hAnsi="Arial" w:eastAsia="Arial" w:cs="Arial"/>
      <w:sz w:val="34"/>
    </w:rPr>
  </w:style>
  <w:style w:type="character" w:styleId="779" w:customStyle="1">
    <w:name w:val="Heading 3 Char"/>
    <w:basedOn w:val="770"/>
    <w:uiPriority w:val="9"/>
    <w:rPr>
      <w:rFonts w:ascii="Arial" w:hAnsi="Arial" w:eastAsia="Arial" w:cs="Arial"/>
      <w:sz w:val="30"/>
      <w:szCs w:val="30"/>
    </w:rPr>
  </w:style>
  <w:style w:type="character" w:styleId="780" w:customStyle="1">
    <w:name w:val="Heading 4 Char"/>
    <w:basedOn w:val="770"/>
    <w:uiPriority w:val="9"/>
    <w:rPr>
      <w:rFonts w:ascii="Arial" w:hAnsi="Arial" w:eastAsia="Arial" w:cs="Arial"/>
      <w:b/>
      <w:bCs/>
      <w:sz w:val="26"/>
      <w:szCs w:val="26"/>
    </w:rPr>
  </w:style>
  <w:style w:type="character" w:styleId="781" w:customStyle="1">
    <w:name w:val="Heading 5 Char"/>
    <w:basedOn w:val="770"/>
    <w:uiPriority w:val="9"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6 Char"/>
    <w:basedOn w:val="770"/>
    <w:uiPriority w:val="9"/>
    <w:rPr>
      <w:rFonts w:ascii="Arial" w:hAnsi="Arial" w:eastAsia="Arial" w:cs="Arial"/>
      <w:b/>
      <w:bCs/>
      <w:sz w:val="22"/>
      <w:szCs w:val="22"/>
    </w:rPr>
  </w:style>
  <w:style w:type="character" w:styleId="783" w:customStyle="1">
    <w:name w:val="Heading 7 Char"/>
    <w:basedOn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4" w:customStyle="1">
    <w:name w:val="Heading 8 Char"/>
    <w:basedOn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85" w:customStyle="1">
    <w:name w:val="Heading 9 Char"/>
    <w:basedOn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86">
    <w:name w:val="No Spacing"/>
    <w:uiPriority w:val="1"/>
    <w:qFormat/>
    <w:pPr>
      <w:spacing w:after="0" w:line="240" w:lineRule="auto"/>
    </w:pPr>
  </w:style>
  <w:style w:type="character" w:styleId="787" w:customStyle="1">
    <w:name w:val="Title Char"/>
    <w:basedOn w:val="770"/>
    <w:uiPriority w:val="10"/>
    <w:rPr>
      <w:sz w:val="48"/>
      <w:szCs w:val="48"/>
    </w:rPr>
  </w:style>
  <w:style w:type="paragraph" w:styleId="788">
    <w:name w:val="Subtitle"/>
    <w:basedOn w:val="760"/>
    <w:next w:val="760"/>
    <w:link w:val="789"/>
    <w:uiPriority w:val="11"/>
    <w:qFormat/>
    <w:pPr>
      <w:spacing w:before="200" w:after="200"/>
    </w:pPr>
    <w:rPr>
      <w:sz w:val="24"/>
    </w:rPr>
  </w:style>
  <w:style w:type="character" w:styleId="789" w:customStyle="1">
    <w:name w:val="Подзаголовок Знак"/>
    <w:basedOn w:val="770"/>
    <w:link w:val="788"/>
    <w:uiPriority w:val="11"/>
    <w:rPr>
      <w:sz w:val="24"/>
      <w:szCs w:val="24"/>
    </w:rPr>
  </w:style>
  <w:style w:type="paragraph" w:styleId="790">
    <w:name w:val="Quote"/>
    <w:basedOn w:val="760"/>
    <w:next w:val="760"/>
    <w:link w:val="791"/>
    <w:uiPriority w:val="29"/>
    <w:qFormat/>
    <w:pPr>
      <w:ind w:left="720" w:right="720"/>
    </w:pPr>
    <w:rPr>
      <w:i/>
    </w:rPr>
  </w:style>
  <w:style w:type="character" w:styleId="791" w:customStyle="1">
    <w:name w:val="Цитата 2 Знак"/>
    <w:link w:val="790"/>
    <w:uiPriority w:val="29"/>
    <w:rPr>
      <w:i/>
    </w:rPr>
  </w:style>
  <w:style w:type="paragraph" w:styleId="792">
    <w:name w:val="Intense Quote"/>
    <w:basedOn w:val="760"/>
    <w:next w:val="760"/>
    <w:link w:val="79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 w:customStyle="1">
    <w:name w:val="Выделенная цитата Знак"/>
    <w:link w:val="792"/>
    <w:uiPriority w:val="30"/>
    <w:rPr>
      <w:i/>
    </w:rPr>
  </w:style>
  <w:style w:type="character" w:styleId="794" w:customStyle="1">
    <w:name w:val="Header Char"/>
    <w:basedOn w:val="770"/>
    <w:uiPriority w:val="99"/>
  </w:style>
  <w:style w:type="character" w:styleId="795" w:customStyle="1">
    <w:name w:val="Footer Char"/>
    <w:basedOn w:val="770"/>
    <w:uiPriority w:val="99"/>
  </w:style>
  <w:style w:type="character" w:styleId="796" w:customStyle="1">
    <w:name w:val="Caption Char"/>
    <w:uiPriority w:val="99"/>
  </w:style>
  <w:style w:type="table" w:styleId="797" w:customStyle="1">
    <w:name w:val="Table Grid Light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2"/>
    <w:basedOn w:val="77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1">
    <w:name w:val="Plain Table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Plain Table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3">
    <w:name w:val="Grid Table 1 Light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5" w:customStyle="1">
    <w:name w:val="Grid Table 4 - Accent 1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6" w:customStyle="1">
    <w:name w:val="Grid Table 4 - Accent 2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Grid Table 4 - Accent 3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8" w:customStyle="1">
    <w:name w:val="Grid Table 4 - Accent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Grid Table 4 - Accent 5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0" w:customStyle="1">
    <w:name w:val="Grid Table 4 - Accent 6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8">
    <w:name w:val="Grid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9" w:customStyle="1">
    <w:name w:val="Grid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0" w:customStyle="1">
    <w:name w:val="Grid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1" w:customStyle="1">
    <w:name w:val="Grid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2" w:customStyle="1">
    <w:name w:val="Grid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3" w:customStyle="1">
    <w:name w:val="Grid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>
    <w:name w:val="Grid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1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2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6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6">
    <w:name w:val="List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>
    <w:name w:val="List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8" w:customStyle="1">
    <w:name w:val="List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9" w:customStyle="1">
    <w:name w:val="List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List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1" w:customStyle="1">
    <w:name w:val="List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List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3" w:customStyle="1">
    <w:name w:val="List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4">
    <w:name w:val="List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 &amp; 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Bordered &amp; 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Bordered &amp; 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Bordered &amp; 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Bordered &amp; 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Bordered &amp; 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Bordered &amp; 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6" w:customStyle="1">
    <w:name w:val="Bordered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7" w:customStyle="1">
    <w:name w:val="Bordered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8" w:customStyle="1">
    <w:name w:val="Bordered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9" w:customStyle="1">
    <w:name w:val="Bordered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0" w:customStyle="1">
    <w:name w:val="Bordered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1" w:customStyle="1">
    <w:name w:val="Bordered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2" w:customStyle="1">
    <w:name w:val="Footnote Text Char"/>
    <w:uiPriority w:val="99"/>
    <w:rPr>
      <w:sz w:val="18"/>
    </w:rPr>
  </w:style>
  <w:style w:type="paragraph" w:styleId="923">
    <w:name w:val="endnote text"/>
    <w:basedOn w:val="760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0"/>
    <w:uiPriority w:val="99"/>
    <w:semiHidden/>
    <w:unhideWhenUsed/>
    <w:rPr>
      <w:vertAlign w:val="superscript"/>
    </w:rPr>
  </w:style>
  <w:style w:type="paragraph" w:styleId="926">
    <w:name w:val="table of figures"/>
    <w:basedOn w:val="760"/>
    <w:next w:val="760"/>
    <w:uiPriority w:val="99"/>
    <w:unhideWhenUsed/>
  </w:style>
  <w:style w:type="character" w:styleId="927" w:customStyle="1">
    <w:name w:val="Заголовок 1 Знак"/>
    <w:basedOn w:val="770"/>
    <w:link w:val="761"/>
    <w:rPr>
      <w:rFonts w:ascii="Arial" w:hAnsi="Arial" w:eastAsia="Times New Roman" w:cs="Arial"/>
      <w:b/>
      <w:bCs/>
      <w:caps/>
      <w:sz w:val="36"/>
      <w:szCs w:val="36"/>
      <w:lang w:eastAsia="ru-RU"/>
    </w:rPr>
  </w:style>
  <w:style w:type="character" w:styleId="928" w:customStyle="1">
    <w:name w:val="Заголовок 2 Знак"/>
    <w:basedOn w:val="770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929" w:customStyle="1">
    <w:name w:val="Заголовок 3 Знак"/>
    <w:basedOn w:val="770"/>
    <w:link w:val="763"/>
    <w:rPr>
      <w:rFonts w:ascii="Cambria" w:hAnsi="Cambria" w:eastAsia="Times New Roman" w:cs="Times New Roman"/>
      <w:b/>
      <w:bCs/>
      <w:sz w:val="26"/>
      <w:szCs w:val="26"/>
    </w:rPr>
  </w:style>
  <w:style w:type="character" w:styleId="930" w:customStyle="1">
    <w:name w:val="Заголовок 4 Знак"/>
    <w:basedOn w:val="770"/>
    <w:link w:val="764"/>
    <w:rPr>
      <w:rFonts w:ascii="Calibri" w:hAnsi="Calibri" w:eastAsia="Times New Roman" w:cs="Times New Roman"/>
      <w:b/>
      <w:bCs/>
      <w:sz w:val="28"/>
      <w:szCs w:val="28"/>
    </w:rPr>
  </w:style>
  <w:style w:type="character" w:styleId="931" w:customStyle="1">
    <w:name w:val="Заголовок 5 Знак"/>
    <w:basedOn w:val="770"/>
    <w:link w:val="765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932" w:customStyle="1">
    <w:name w:val="Заголовок 6 Знак"/>
    <w:basedOn w:val="770"/>
    <w:link w:val="766"/>
    <w:rPr>
      <w:rFonts w:ascii="Calibri" w:hAnsi="Calibri" w:eastAsia="Times New Roman" w:cs="Times New Roman"/>
      <w:b/>
      <w:bCs/>
      <w:sz w:val="20"/>
      <w:szCs w:val="20"/>
    </w:rPr>
  </w:style>
  <w:style w:type="character" w:styleId="933" w:customStyle="1">
    <w:name w:val="Заголовок 7 Знак"/>
    <w:basedOn w:val="770"/>
    <w:link w:val="767"/>
    <w:rPr>
      <w:rFonts w:ascii="Calibri" w:hAnsi="Calibri" w:eastAsia="Times New Roman" w:cs="Times New Roman"/>
      <w:sz w:val="24"/>
      <w:szCs w:val="24"/>
    </w:rPr>
  </w:style>
  <w:style w:type="character" w:styleId="934" w:customStyle="1">
    <w:name w:val="Заголовок 8 Знак"/>
    <w:basedOn w:val="770"/>
    <w:link w:val="768"/>
    <w:rPr>
      <w:rFonts w:ascii="Calibri" w:hAnsi="Calibri" w:eastAsia="Times New Roman" w:cs="Times New Roman"/>
      <w:i/>
      <w:iCs/>
      <w:sz w:val="24"/>
      <w:szCs w:val="24"/>
    </w:rPr>
  </w:style>
  <w:style w:type="character" w:styleId="935" w:customStyle="1">
    <w:name w:val="Заголовок 9 Знак"/>
    <w:basedOn w:val="770"/>
    <w:link w:val="769"/>
    <w:rPr>
      <w:rFonts w:ascii="Cambria" w:hAnsi="Cambria" w:eastAsia="Times New Roman" w:cs="Times New Roman"/>
      <w:sz w:val="20"/>
      <w:szCs w:val="20"/>
    </w:rPr>
  </w:style>
  <w:style w:type="character" w:styleId="936" w:customStyle="1">
    <w:name w:val="Заголовок 2 Знак1"/>
    <w:link w:val="762"/>
    <w:rPr>
      <w:rFonts w:ascii="Times New Roman" w:hAnsi="Times New Roman" w:eastAsia="Times New Roman" w:cs="Times New Roman"/>
      <w:b/>
      <w:bCs/>
      <w:smallCaps/>
      <w:sz w:val="32"/>
      <w:szCs w:val="28"/>
      <w:lang w:eastAsia="ru-RU"/>
    </w:rPr>
  </w:style>
  <w:style w:type="paragraph" w:styleId="937">
    <w:name w:val="Header"/>
    <w:basedOn w:val="760"/>
    <w:link w:val="938"/>
    <w:pPr>
      <w:ind w:firstLine="0"/>
      <w:jc w:val="center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sz w:val="24"/>
    </w:rPr>
  </w:style>
  <w:style w:type="character" w:styleId="938" w:customStyle="1">
    <w:name w:val="Верхний колонтитул Знак"/>
    <w:basedOn w:val="770"/>
    <w:link w:val="937"/>
    <w:rPr>
      <w:rFonts w:ascii="Times New Roman" w:hAnsi="Times New Roman" w:eastAsia="Times New Roman" w:cs="Times New Roman"/>
      <w:sz w:val="24"/>
      <w:szCs w:val="24"/>
    </w:rPr>
  </w:style>
  <w:style w:type="paragraph" w:styleId="939">
    <w:name w:val="Footer"/>
    <w:basedOn w:val="760"/>
    <w:link w:val="940"/>
    <w:uiPriority w:val="99"/>
    <w:pPr>
      <w:ind w:firstLine="0"/>
      <w:tabs>
        <w:tab w:val="center" w:pos="4253" w:leader="none"/>
        <w:tab w:val="right" w:pos="9356" w:leader="none"/>
      </w:tabs>
    </w:pPr>
    <w:rPr>
      <w:sz w:val="24"/>
    </w:rPr>
  </w:style>
  <w:style w:type="character" w:styleId="940" w:customStyle="1">
    <w:name w:val="Нижний колонтитул Знак"/>
    <w:basedOn w:val="770"/>
    <w:link w:val="939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941">
    <w:name w:val="Hyperlink"/>
    <w:uiPriority w:val="99"/>
    <w:rPr>
      <w:rFonts w:cs="Times New Roman"/>
      <w:color w:val="0000ff"/>
      <w:u w:val="single"/>
    </w:rPr>
  </w:style>
  <w:style w:type="character" w:styleId="942">
    <w:name w:val="footnote reference"/>
    <w:rPr>
      <w:rFonts w:cs="Times New Roman"/>
      <w:vertAlign w:val="superscript"/>
    </w:rPr>
  </w:style>
  <w:style w:type="character" w:styleId="94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44">
    <w:name w:val="toc 1"/>
    <w:basedOn w:val="760"/>
    <w:next w:val="760"/>
    <w:uiPriority w:val="39"/>
    <w:qFormat/>
    <w:pPr>
      <w:ind w:right="1134" w:firstLine="0"/>
      <w:jc w:val="left"/>
      <w:spacing w:before="120" w:after="120"/>
      <w:tabs>
        <w:tab w:val="left" w:pos="426" w:leader="none"/>
        <w:tab w:val="right" w:pos="9344" w:leader="dot"/>
      </w:tabs>
    </w:pPr>
    <w:rPr>
      <w:b/>
      <w:bCs/>
      <w:caps/>
      <w:szCs w:val="28"/>
    </w:rPr>
  </w:style>
  <w:style w:type="paragraph" w:styleId="945">
    <w:name w:val="toc 2"/>
    <w:basedOn w:val="760"/>
    <w:next w:val="760"/>
    <w:uiPriority w:val="39"/>
    <w:qFormat/>
    <w:pPr>
      <w:ind w:right="-1" w:firstLine="0"/>
      <w:jc w:val="left"/>
      <w:spacing w:after="60"/>
      <w:tabs>
        <w:tab w:val="left" w:pos="0" w:leader="none"/>
        <w:tab w:val="left" w:pos="426" w:leader="none"/>
        <w:tab w:val="right" w:pos="9360" w:leader="dot"/>
      </w:tabs>
    </w:pPr>
    <w:rPr>
      <w:sz w:val="24"/>
      <w:szCs w:val="32"/>
    </w:rPr>
  </w:style>
  <w:style w:type="paragraph" w:styleId="946">
    <w:name w:val="toc 3"/>
    <w:basedOn w:val="760"/>
    <w:next w:val="760"/>
    <w:uiPriority w:val="39"/>
    <w:qFormat/>
    <w:pPr>
      <w:ind w:right="-1" w:firstLine="0"/>
      <w:spacing w:after="60"/>
      <w:tabs>
        <w:tab w:val="left" w:pos="567" w:leader="none"/>
        <w:tab w:val="left" w:pos="851" w:leader="none"/>
        <w:tab w:val="left" w:pos="1980" w:leader="none"/>
        <w:tab w:val="right" w:pos="9344" w:leader="dot"/>
      </w:tabs>
    </w:pPr>
    <w:rPr>
      <w:iCs/>
      <w:sz w:val="24"/>
    </w:rPr>
  </w:style>
  <w:style w:type="paragraph" w:styleId="947">
    <w:name w:val="toc 4"/>
    <w:basedOn w:val="760"/>
    <w:next w:val="760"/>
    <w:uiPriority w:val="39"/>
    <w:pPr>
      <w:ind w:left="720"/>
      <w:jc w:val="left"/>
    </w:pPr>
    <w:rPr>
      <w:sz w:val="18"/>
      <w:szCs w:val="18"/>
    </w:rPr>
  </w:style>
  <w:style w:type="paragraph" w:styleId="948">
    <w:name w:val="Document Map"/>
    <w:basedOn w:val="760"/>
    <w:link w:val="949"/>
    <w:semiHidden/>
    <w:pPr>
      <w:shd w:val="clear" w:color="auto" w:fill="000080"/>
    </w:pPr>
    <w:rPr>
      <w:sz w:val="2"/>
      <w:szCs w:val="20"/>
    </w:rPr>
  </w:style>
  <w:style w:type="character" w:styleId="949" w:customStyle="1">
    <w:name w:val="Схема документа Знак"/>
    <w:basedOn w:val="770"/>
    <w:link w:val="948"/>
    <w:semiHidden/>
    <w:rPr>
      <w:rFonts w:ascii="Times New Roman" w:hAnsi="Times New Roman" w:eastAsia="Times New Roman" w:cs="Times New Roman"/>
      <w:sz w:val="2"/>
      <w:szCs w:val="20"/>
      <w:shd w:val="clear" w:color="auto" w:fill="000080"/>
    </w:rPr>
  </w:style>
  <w:style w:type="paragraph" w:styleId="950" w:customStyle="1">
    <w:name w:val="Таблица шапка"/>
    <w:basedOn w:val="760"/>
    <w:pPr>
      <w:ind w:left="57" w:right="57" w:firstLine="0"/>
      <w:jc w:val="left"/>
      <w:keepNext/>
      <w:spacing w:before="40" w:after="40"/>
    </w:pPr>
    <w:rPr>
      <w:sz w:val="18"/>
      <w:szCs w:val="18"/>
    </w:rPr>
  </w:style>
  <w:style w:type="paragraph" w:styleId="951">
    <w:name w:val="footnote text"/>
    <w:basedOn w:val="760"/>
    <w:link w:val="952"/>
    <w:rPr>
      <w:sz w:val="20"/>
      <w:szCs w:val="20"/>
    </w:rPr>
  </w:style>
  <w:style w:type="character" w:styleId="952" w:customStyle="1">
    <w:name w:val="Текст сноски Знак"/>
    <w:basedOn w:val="770"/>
    <w:link w:val="951"/>
    <w:rPr>
      <w:rFonts w:ascii="Times New Roman" w:hAnsi="Times New Roman" w:eastAsia="Times New Roman" w:cs="Times New Roman"/>
      <w:sz w:val="20"/>
      <w:szCs w:val="20"/>
    </w:rPr>
  </w:style>
  <w:style w:type="paragraph" w:styleId="953">
    <w:name w:val="Caption"/>
    <w:basedOn w:val="760"/>
    <w:next w:val="760"/>
    <w:qFormat/>
    <w:pPr>
      <w:ind w:firstLine="0"/>
      <w:keepNext/>
      <w:spacing w:before="120" w:after="120"/>
    </w:pPr>
    <w:rPr>
      <w:i/>
      <w:iCs/>
    </w:rPr>
  </w:style>
  <w:style w:type="paragraph" w:styleId="954">
    <w:name w:val="toc 5"/>
    <w:basedOn w:val="760"/>
    <w:next w:val="760"/>
    <w:uiPriority w:val="39"/>
    <w:pPr>
      <w:ind w:left="960"/>
      <w:jc w:val="left"/>
    </w:pPr>
    <w:rPr>
      <w:sz w:val="18"/>
      <w:szCs w:val="18"/>
    </w:rPr>
  </w:style>
  <w:style w:type="paragraph" w:styleId="955">
    <w:name w:val="toc 6"/>
    <w:basedOn w:val="760"/>
    <w:next w:val="760"/>
    <w:uiPriority w:val="39"/>
    <w:pPr>
      <w:ind w:left="1200"/>
      <w:jc w:val="left"/>
    </w:pPr>
    <w:rPr>
      <w:sz w:val="18"/>
      <w:szCs w:val="18"/>
    </w:rPr>
  </w:style>
  <w:style w:type="paragraph" w:styleId="956">
    <w:name w:val="toc 7"/>
    <w:basedOn w:val="760"/>
    <w:next w:val="760"/>
    <w:uiPriority w:val="39"/>
    <w:pPr>
      <w:ind w:left="1440"/>
      <w:jc w:val="left"/>
    </w:pPr>
    <w:rPr>
      <w:sz w:val="18"/>
      <w:szCs w:val="18"/>
    </w:rPr>
  </w:style>
  <w:style w:type="paragraph" w:styleId="957">
    <w:name w:val="toc 8"/>
    <w:basedOn w:val="760"/>
    <w:next w:val="760"/>
    <w:uiPriority w:val="39"/>
    <w:pPr>
      <w:ind w:left="1680"/>
      <w:jc w:val="left"/>
    </w:pPr>
    <w:rPr>
      <w:sz w:val="18"/>
      <w:szCs w:val="18"/>
    </w:rPr>
  </w:style>
  <w:style w:type="paragraph" w:styleId="958">
    <w:name w:val="toc 9"/>
    <w:basedOn w:val="760"/>
    <w:next w:val="760"/>
    <w:uiPriority w:val="39"/>
    <w:pPr>
      <w:ind w:left="1920"/>
      <w:jc w:val="left"/>
    </w:pPr>
    <w:rPr>
      <w:sz w:val="18"/>
      <w:szCs w:val="18"/>
    </w:rPr>
  </w:style>
  <w:style w:type="paragraph" w:styleId="959" w:customStyle="1">
    <w:name w:val="Структура"/>
    <w:basedOn w:val="760"/>
    <w:semiHidden/>
    <w:pPr>
      <w:ind w:right="2835" w:firstLine="0"/>
      <w:jc w:val="left"/>
      <w:pageBreakBefore/>
      <w:spacing w:before="480" w:after="240"/>
      <w:tabs>
        <w:tab w:val="left" w:pos="851" w:leader="none"/>
      </w:tabs>
      <w:pBdr>
        <w:bottom w:val="single" w:color="000000" w:sz="24" w:space="1"/>
      </w:pBdr>
      <w:outlineLvl w:val="0"/>
    </w:pPr>
    <w:rPr>
      <w:b/>
      <w:bCs/>
      <w:caps/>
      <w:sz w:val="36"/>
      <w:szCs w:val="36"/>
    </w:rPr>
  </w:style>
  <w:style w:type="paragraph" w:styleId="960" w:customStyle="1">
    <w:name w:val="Главы"/>
    <w:basedOn w:val="959"/>
    <w:next w:val="760"/>
    <w:semiHidden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character" w:styleId="961">
    <w:name w:val="annotation reference"/>
    <w:semiHidden/>
    <w:rPr>
      <w:rFonts w:cs="Times New Roman"/>
      <w:sz w:val="16"/>
      <w:szCs w:val="16"/>
    </w:rPr>
  </w:style>
  <w:style w:type="paragraph" w:styleId="962" w:customStyle="1">
    <w:name w:val="маркированный"/>
    <w:basedOn w:val="760"/>
    <w:semiHidden/>
    <w:pPr>
      <w:ind w:left="2268" w:hanging="567"/>
      <w:tabs>
        <w:tab w:val="num" w:pos="2268" w:leader="none"/>
      </w:tabs>
    </w:pPr>
  </w:style>
  <w:style w:type="paragraph" w:styleId="963">
    <w:name w:val="List Bullet"/>
    <w:basedOn w:val="760"/>
    <w:pPr>
      <w:ind w:firstLine="0"/>
      <w:spacing w:line="360" w:lineRule="auto"/>
    </w:pPr>
    <w:rPr>
      <w:szCs w:val="28"/>
    </w:rPr>
  </w:style>
  <w:style w:type="paragraph" w:styleId="964">
    <w:name w:val="Title"/>
    <w:basedOn w:val="760"/>
    <w:link w:val="965"/>
    <w:qFormat/>
    <w:pPr>
      <w:ind w:firstLine="0"/>
      <w:jc w:val="center"/>
    </w:pPr>
    <w:rPr>
      <w:rFonts w:ascii="Cambria" w:hAnsi="Cambria"/>
      <w:b/>
      <w:bCs/>
      <w:sz w:val="32"/>
      <w:szCs w:val="32"/>
    </w:rPr>
  </w:style>
  <w:style w:type="character" w:styleId="965" w:customStyle="1">
    <w:name w:val="Заголовок Знак"/>
    <w:basedOn w:val="770"/>
    <w:link w:val="964"/>
    <w:rPr>
      <w:rFonts w:ascii="Cambria" w:hAnsi="Cambria" w:eastAsia="Times New Roman" w:cs="Times New Roman"/>
      <w:b/>
      <w:bCs/>
      <w:sz w:val="32"/>
      <w:szCs w:val="32"/>
    </w:rPr>
  </w:style>
  <w:style w:type="paragraph" w:styleId="966" w:customStyle="1">
    <w:name w:val="нумерованный"/>
    <w:basedOn w:val="760"/>
    <w:semiHidden/>
    <w:pPr>
      <w:ind w:left="567" w:hanging="567"/>
      <w:tabs>
        <w:tab w:val="num" w:pos="567" w:leader="none"/>
      </w:tabs>
    </w:pPr>
  </w:style>
  <w:style w:type="paragraph" w:styleId="967">
    <w:name w:val="List Number"/>
    <w:basedOn w:val="760"/>
    <w:pPr>
      <w:spacing w:before="60" w:line="360" w:lineRule="auto"/>
      <w:tabs>
        <w:tab w:val="num" w:pos="1134" w:leader="none"/>
      </w:tabs>
    </w:pPr>
    <w:rPr>
      <w:szCs w:val="28"/>
    </w:rPr>
  </w:style>
  <w:style w:type="paragraph" w:styleId="968" w:customStyle="1">
    <w:name w:val="Отчет"/>
    <w:basedOn w:val="760"/>
    <w:semiHidden/>
    <w:pPr>
      <w:ind w:firstLine="0"/>
      <w:tabs>
        <w:tab w:val="num" w:pos="1701" w:leader="none"/>
      </w:tabs>
    </w:pPr>
  </w:style>
  <w:style w:type="paragraph" w:styleId="969" w:customStyle="1">
    <w:name w:val="Пункт"/>
    <w:basedOn w:val="760"/>
    <w:link w:val="970"/>
    <w:pPr>
      <w:ind w:left="1422" w:hanging="720"/>
    </w:pPr>
  </w:style>
  <w:style w:type="character" w:styleId="970" w:customStyle="1">
    <w:name w:val="Пункт Знак"/>
    <w:link w:val="969"/>
    <w:rPr>
      <w:rFonts w:ascii="Times New Roman" w:hAnsi="Times New Roman" w:eastAsia="Times New Roman" w:cs="Times New Roman"/>
      <w:sz w:val="28"/>
      <w:szCs w:val="24"/>
    </w:rPr>
  </w:style>
  <w:style w:type="character" w:styleId="971" w:customStyle="1">
    <w:name w:val="заменить"/>
    <w:rPr>
      <w:rFonts w:cs="Times New Roman"/>
      <w:b/>
      <w:i/>
      <w:u w:val="single"/>
      <w:shd w:val="clear" w:color="auto" w:fill="ffcc99"/>
    </w:rPr>
  </w:style>
  <w:style w:type="character" w:styleId="972" w:customStyle="1">
    <w:name w:val="комментарий"/>
    <w:rPr>
      <w:rFonts w:cs="Times New Roman"/>
      <w:i/>
      <w:u w:val="none"/>
      <w:shd w:val="clear" w:color="auto" w:fill="ffff99"/>
    </w:rPr>
  </w:style>
  <w:style w:type="paragraph" w:styleId="973" w:customStyle="1">
    <w:name w:val="Подпункт"/>
    <w:basedOn w:val="969"/>
    <w:pPr>
      <w:ind w:left="2133" w:hanging="1080"/>
    </w:pPr>
  </w:style>
  <w:style w:type="paragraph" w:styleId="974" w:customStyle="1">
    <w:name w:val="Подподпункт"/>
    <w:basedOn w:val="973"/>
    <w:link w:val="975"/>
    <w:pPr>
      <w:ind w:left="2484"/>
    </w:pPr>
  </w:style>
  <w:style w:type="character" w:styleId="975" w:customStyle="1">
    <w:name w:val="Подподпункт Знак"/>
    <w:link w:val="974"/>
    <w:rPr>
      <w:rFonts w:ascii="Times New Roman" w:hAnsi="Times New Roman" w:eastAsia="Times New Roman" w:cs="Times New Roman"/>
      <w:sz w:val="28"/>
      <w:szCs w:val="24"/>
    </w:rPr>
  </w:style>
  <w:style w:type="character" w:styleId="976">
    <w:name w:val="FollowedHyperlink"/>
    <w:uiPriority w:val="99"/>
    <w:rPr>
      <w:rFonts w:cs="Times New Roman"/>
      <w:color w:val="800080"/>
      <w:u w:val="single"/>
    </w:rPr>
  </w:style>
  <w:style w:type="paragraph" w:styleId="977" w:customStyle="1">
    <w:name w:val="Пункт б/н"/>
    <w:basedOn w:val="760"/>
    <w:semiHidden/>
    <w:pPr>
      <w:tabs>
        <w:tab w:val="left" w:pos="1134" w:leader="none"/>
      </w:tabs>
    </w:pPr>
  </w:style>
  <w:style w:type="paragraph" w:styleId="978" w:customStyle="1">
    <w:name w:val="Служебный"/>
    <w:basedOn w:val="960"/>
    <w:semiHidden/>
    <w:pPr>
      <w:jc w:val="left"/>
      <w:spacing w:before="480" w:after="240" w:line="240" w:lineRule="auto"/>
    </w:pPr>
    <w:rPr>
      <w:rFonts w:ascii="Arial" w:hAnsi="Arial" w:cs="Arial"/>
      <w:caps w:val="0"/>
      <w:spacing w:val="0"/>
      <w:sz w:val="36"/>
      <w:szCs w:val="36"/>
    </w:rPr>
  </w:style>
  <w:style w:type="paragraph" w:styleId="979" w:customStyle="1">
    <w:name w:val="Таблица текст"/>
    <w:basedOn w:val="760"/>
    <w:pPr>
      <w:ind w:left="57" w:right="57" w:firstLine="0"/>
      <w:jc w:val="left"/>
      <w:spacing w:before="40" w:after="40"/>
    </w:pPr>
    <w:rPr>
      <w:sz w:val="22"/>
      <w:szCs w:val="22"/>
    </w:rPr>
  </w:style>
  <w:style w:type="paragraph" w:styleId="980" w:customStyle="1">
    <w:name w:val="Пункт-2"/>
    <w:basedOn w:val="969"/>
    <w:pPr>
      <w:jc w:val="left"/>
      <w:keepNext/>
      <w:spacing w:before="240" w:after="120"/>
      <w:outlineLvl w:val="2"/>
    </w:pPr>
    <w:rPr>
      <w:b/>
      <w:bCs/>
      <w:szCs w:val="28"/>
    </w:rPr>
  </w:style>
  <w:style w:type="paragraph" w:styleId="981" w:customStyle="1">
    <w:name w:val="Текст таблицы"/>
    <w:basedOn w:val="760"/>
    <w:semiHidden/>
    <w:pPr>
      <w:ind w:left="57" w:right="57" w:firstLine="0"/>
      <w:jc w:val="left"/>
      <w:spacing w:before="40" w:after="40"/>
    </w:pPr>
  </w:style>
  <w:style w:type="paragraph" w:styleId="982">
    <w:name w:val="Balloon Text"/>
    <w:basedOn w:val="760"/>
    <w:link w:val="983"/>
    <w:pPr>
      <w:spacing w:line="360" w:lineRule="auto"/>
    </w:pPr>
    <w:rPr>
      <w:sz w:val="20"/>
      <w:szCs w:val="20"/>
    </w:rPr>
  </w:style>
  <w:style w:type="character" w:styleId="983" w:customStyle="1">
    <w:name w:val="Текст выноски Знак"/>
    <w:basedOn w:val="770"/>
    <w:link w:val="98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4">
    <w:name w:val="annotation text"/>
    <w:basedOn w:val="760"/>
    <w:link w:val="985"/>
    <w:semiHidden/>
    <w:pPr>
      <w:spacing w:line="360" w:lineRule="auto"/>
    </w:pPr>
    <w:rPr>
      <w:sz w:val="20"/>
      <w:szCs w:val="20"/>
    </w:rPr>
  </w:style>
  <w:style w:type="character" w:styleId="985" w:customStyle="1">
    <w:name w:val="Текст примечания Знак"/>
    <w:basedOn w:val="770"/>
    <w:link w:val="984"/>
    <w:semiHidden/>
    <w:rPr>
      <w:rFonts w:ascii="Times New Roman" w:hAnsi="Times New Roman" w:eastAsia="Times New Roman" w:cs="Times New Roman"/>
      <w:sz w:val="20"/>
      <w:szCs w:val="20"/>
    </w:rPr>
  </w:style>
  <w:style w:type="paragraph" w:styleId="986">
    <w:name w:val="annotation subject"/>
    <w:basedOn w:val="984"/>
    <w:next w:val="984"/>
    <w:link w:val="987"/>
    <w:semiHidden/>
    <w:rPr>
      <w:b/>
      <w:bCs/>
    </w:rPr>
  </w:style>
  <w:style w:type="character" w:styleId="987" w:customStyle="1">
    <w:name w:val="Тема примечания Знак"/>
    <w:basedOn w:val="985"/>
    <w:link w:val="986"/>
    <w:semiHidden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988" w:customStyle="1">
    <w:name w:val="Контракт-раздел"/>
    <w:basedOn w:val="760"/>
    <w:next w:val="989"/>
    <w:pPr>
      <w:numPr>
        <w:ilvl w:val="0"/>
        <w:numId w:val="2"/>
      </w:numPr>
      <w:jc w:val="center"/>
      <w:keepNext/>
      <w:spacing w:before="360" w:after="120"/>
      <w:tabs>
        <w:tab w:val="left" w:pos="540" w:leader="none"/>
      </w:tabs>
      <w:outlineLvl w:val="2"/>
    </w:pPr>
    <w:rPr>
      <w:b/>
      <w:bCs/>
      <w:caps/>
      <w:smallCaps/>
    </w:rPr>
  </w:style>
  <w:style w:type="paragraph" w:styleId="989" w:customStyle="1">
    <w:name w:val="Контракт-пункт"/>
    <w:basedOn w:val="969"/>
    <w:pPr>
      <w:numPr>
        <w:ilvl w:val="1"/>
        <w:numId w:val="3"/>
      </w:numPr>
    </w:pPr>
  </w:style>
  <w:style w:type="paragraph" w:styleId="990" w:customStyle="1">
    <w:name w:val="Контракт-подпункт"/>
    <w:basedOn w:val="973"/>
    <w:pPr>
      <w:numPr>
        <w:ilvl w:val="2"/>
        <w:numId w:val="3"/>
      </w:numPr>
      <w:ind w:left="0"/>
      <w:tabs>
        <w:tab w:val="num" w:pos="1418" w:leader="none"/>
      </w:tabs>
    </w:pPr>
  </w:style>
  <w:style w:type="paragraph" w:styleId="991">
    <w:name w:val="Body Text"/>
    <w:basedOn w:val="760"/>
    <w:link w:val="992"/>
    <w:pPr>
      <w:ind w:firstLine="0"/>
      <w:jc w:val="left"/>
      <w:spacing w:before="274"/>
      <w:shd w:val="clear" w:color="auto" w:fill="ffffff"/>
      <w:tabs>
        <w:tab w:val="left" w:pos="1070" w:leader="none"/>
      </w:tabs>
    </w:pPr>
    <w:rPr>
      <w:sz w:val="24"/>
    </w:rPr>
  </w:style>
  <w:style w:type="character" w:styleId="992" w:customStyle="1">
    <w:name w:val="Основной текст Знак"/>
    <w:basedOn w:val="770"/>
    <w:link w:val="991"/>
    <w:rPr>
      <w:rFonts w:ascii="Times New Roman" w:hAnsi="Times New Roman" w:eastAsia="Times New Roman" w:cs="Times New Roman"/>
      <w:sz w:val="24"/>
      <w:szCs w:val="24"/>
      <w:shd w:val="clear" w:color="auto" w:fill="ffffff"/>
    </w:rPr>
  </w:style>
  <w:style w:type="paragraph" w:styleId="993">
    <w:name w:val="Body Text 2"/>
    <w:basedOn w:val="760"/>
    <w:link w:val="994"/>
    <w:pPr>
      <w:ind w:firstLine="0"/>
      <w:jc w:val="left"/>
      <w:spacing w:line="278" w:lineRule="exact"/>
      <w:shd w:val="clear" w:color="auto" w:fill="ffffff"/>
      <w:tabs>
        <w:tab w:val="left" w:pos="1003" w:leader="none"/>
      </w:tabs>
    </w:pPr>
    <w:rPr>
      <w:sz w:val="24"/>
    </w:rPr>
  </w:style>
  <w:style w:type="character" w:styleId="994" w:customStyle="1">
    <w:name w:val="Основной текст 2 Знак"/>
    <w:basedOn w:val="770"/>
    <w:link w:val="993"/>
    <w:rPr>
      <w:rFonts w:ascii="Times New Roman" w:hAnsi="Times New Roman" w:eastAsia="Times New Roman" w:cs="Times New Roman"/>
      <w:sz w:val="24"/>
      <w:szCs w:val="24"/>
      <w:shd w:val="clear" w:color="auto" w:fill="ffffff"/>
    </w:rPr>
  </w:style>
  <w:style w:type="paragraph" w:styleId="995">
    <w:name w:val="Block Text"/>
    <w:basedOn w:val="760"/>
    <w:pPr>
      <w:ind w:left="144" w:right="125" w:firstLine="0"/>
      <w:jc w:val="left"/>
      <w:spacing w:before="288" w:line="264" w:lineRule="exact"/>
      <w:shd w:val="clear" w:color="auto" w:fill="ffffff"/>
    </w:pPr>
    <w:rPr>
      <w:b/>
      <w:bCs/>
      <w:i/>
      <w:iCs/>
      <w:color w:val="000000"/>
      <w:spacing w:val="-1"/>
      <w:sz w:val="22"/>
    </w:rPr>
  </w:style>
  <w:style w:type="paragraph" w:styleId="996">
    <w:name w:val="Body Text Indent"/>
    <w:basedOn w:val="760"/>
    <w:link w:val="997"/>
    <w:uiPriority w:val="99"/>
    <w:pPr>
      <w:ind w:left="283"/>
      <w:spacing w:after="120"/>
    </w:pPr>
    <w:rPr>
      <w:sz w:val="24"/>
    </w:rPr>
  </w:style>
  <w:style w:type="character" w:styleId="997" w:customStyle="1">
    <w:name w:val="Основной текст с отступом Знак"/>
    <w:basedOn w:val="770"/>
    <w:link w:val="99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98">
    <w:name w:val="Body Text 3"/>
    <w:basedOn w:val="760"/>
    <w:link w:val="999"/>
    <w:pPr>
      <w:ind w:right="14" w:firstLine="0"/>
      <w:jc w:val="left"/>
      <w:spacing w:before="125" w:line="317" w:lineRule="exact"/>
      <w:shd w:val="clear" w:color="auto" w:fill="ffffff"/>
    </w:pPr>
    <w:rPr>
      <w:sz w:val="16"/>
      <w:szCs w:val="16"/>
    </w:rPr>
  </w:style>
  <w:style w:type="character" w:styleId="999" w:customStyle="1">
    <w:name w:val="Основной текст 3 Знак"/>
    <w:basedOn w:val="770"/>
    <w:link w:val="998"/>
    <w:rPr>
      <w:rFonts w:ascii="Times New Roman" w:hAnsi="Times New Roman" w:eastAsia="Times New Roman" w:cs="Times New Roman"/>
      <w:sz w:val="16"/>
      <w:szCs w:val="16"/>
      <w:shd w:val="clear" w:color="auto" w:fill="ffffff"/>
    </w:rPr>
  </w:style>
  <w:style w:type="paragraph" w:styleId="1000">
    <w:name w:val="List Number 2"/>
    <w:basedOn w:val="760"/>
    <w:pPr>
      <w:ind w:firstLine="0"/>
      <w:spacing w:before="60"/>
      <w:outlineLvl w:val="1"/>
    </w:pPr>
  </w:style>
  <w:style w:type="paragraph" w:styleId="1001">
    <w:name w:val="Body Text Indent 2"/>
    <w:basedOn w:val="760"/>
    <w:link w:val="1002"/>
    <w:pPr>
      <w:ind w:left="283"/>
      <w:spacing w:after="120" w:line="480" w:lineRule="auto"/>
    </w:pPr>
    <w:rPr>
      <w:sz w:val="24"/>
    </w:rPr>
  </w:style>
  <w:style w:type="character" w:styleId="1002" w:customStyle="1">
    <w:name w:val="Основной текст с отступом 2 Знак"/>
    <w:basedOn w:val="770"/>
    <w:link w:val="1001"/>
    <w:rPr>
      <w:rFonts w:ascii="Times New Roman" w:hAnsi="Times New Roman" w:eastAsia="Times New Roman" w:cs="Times New Roman"/>
      <w:sz w:val="24"/>
      <w:szCs w:val="24"/>
    </w:rPr>
  </w:style>
  <w:style w:type="paragraph" w:styleId="1003">
    <w:name w:val="HTML Address"/>
    <w:basedOn w:val="760"/>
    <w:link w:val="1004"/>
    <w:rPr>
      <w:i/>
      <w:iCs/>
      <w:sz w:val="24"/>
    </w:rPr>
  </w:style>
  <w:style w:type="character" w:styleId="1004" w:customStyle="1">
    <w:name w:val="Адрес HTML Знак"/>
    <w:basedOn w:val="770"/>
    <w:link w:val="1003"/>
    <w:rPr>
      <w:rFonts w:ascii="Times New Roman" w:hAnsi="Times New Roman" w:eastAsia="Times New Roman" w:cs="Times New Roman"/>
      <w:i/>
      <w:iCs/>
      <w:sz w:val="24"/>
      <w:szCs w:val="24"/>
    </w:rPr>
  </w:style>
  <w:style w:type="paragraph" w:styleId="1005">
    <w:name w:val="envelope address"/>
    <w:basedOn w:val="760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06">
    <w:name w:val="HTML Acronym"/>
    <w:rPr>
      <w:rFonts w:cs="Times New Roman"/>
    </w:rPr>
  </w:style>
  <w:style w:type="character" w:styleId="1007">
    <w:name w:val="Emphasis"/>
    <w:qFormat/>
    <w:rPr>
      <w:rFonts w:cs="Times New Roman"/>
      <w:i/>
      <w:iCs/>
    </w:rPr>
  </w:style>
  <w:style w:type="paragraph" w:styleId="1008">
    <w:name w:val="Date"/>
    <w:basedOn w:val="760"/>
    <w:next w:val="760"/>
    <w:link w:val="1009"/>
    <w:rPr>
      <w:sz w:val="24"/>
    </w:rPr>
  </w:style>
  <w:style w:type="character" w:styleId="1009" w:customStyle="1">
    <w:name w:val="Дата Знак"/>
    <w:basedOn w:val="770"/>
    <w:link w:val="1008"/>
    <w:rPr>
      <w:rFonts w:ascii="Times New Roman" w:hAnsi="Times New Roman" w:eastAsia="Times New Roman" w:cs="Times New Roman"/>
      <w:sz w:val="24"/>
      <w:szCs w:val="24"/>
    </w:rPr>
  </w:style>
  <w:style w:type="paragraph" w:styleId="1010">
    <w:name w:val="Note Heading"/>
    <w:basedOn w:val="760"/>
    <w:next w:val="760"/>
    <w:link w:val="1011"/>
    <w:rPr>
      <w:sz w:val="24"/>
    </w:rPr>
  </w:style>
  <w:style w:type="character" w:styleId="1011" w:customStyle="1">
    <w:name w:val="Заголовок записки Знак"/>
    <w:basedOn w:val="770"/>
    <w:link w:val="1010"/>
    <w:rPr>
      <w:rFonts w:ascii="Times New Roman" w:hAnsi="Times New Roman" w:eastAsia="Times New Roman" w:cs="Times New Roman"/>
      <w:sz w:val="24"/>
      <w:szCs w:val="24"/>
    </w:rPr>
  </w:style>
  <w:style w:type="character" w:styleId="1012">
    <w:name w:val="HTML Keyboard"/>
    <w:rPr>
      <w:rFonts w:ascii="Courier New" w:hAnsi="Courier New" w:cs="Courier New"/>
      <w:sz w:val="20"/>
      <w:szCs w:val="20"/>
    </w:rPr>
  </w:style>
  <w:style w:type="character" w:styleId="1013">
    <w:name w:val="HTML Code"/>
    <w:rPr>
      <w:rFonts w:ascii="Courier New" w:hAnsi="Courier New" w:cs="Courier New"/>
      <w:sz w:val="20"/>
      <w:szCs w:val="20"/>
    </w:rPr>
  </w:style>
  <w:style w:type="paragraph" w:styleId="1014">
    <w:name w:val="Body Text First Indent"/>
    <w:basedOn w:val="991"/>
    <w:link w:val="1015"/>
    <w:pPr>
      <w:ind w:firstLine="210"/>
      <w:jc w:val="both"/>
      <w:spacing w:before="0" w:after="120"/>
      <w:shd w:val="clear" w:color="auto" w:fill="auto"/>
      <w:tabs>
        <w:tab w:val="clear" w:pos="1070" w:leader="none"/>
      </w:tabs>
    </w:pPr>
    <w:rPr>
      <w:b/>
      <w:bCs/>
      <w:i/>
      <w:iCs/>
    </w:rPr>
  </w:style>
  <w:style w:type="character" w:styleId="1015" w:customStyle="1">
    <w:name w:val="Красная строка Знак"/>
    <w:basedOn w:val="992"/>
    <w:link w:val="1014"/>
    <w:rPr>
      <w:rFonts w:ascii="Times New Roman" w:hAnsi="Times New Roman" w:eastAsia="Times New Roman" w:cs="Times New Roman"/>
      <w:b/>
      <w:bCs/>
      <w:i/>
      <w:iCs/>
      <w:sz w:val="24"/>
      <w:szCs w:val="24"/>
      <w:shd w:val="clear" w:color="auto" w:fill="ffffff"/>
    </w:rPr>
  </w:style>
  <w:style w:type="paragraph" w:styleId="1016">
    <w:name w:val="Body Text First Indent 2"/>
    <w:basedOn w:val="760"/>
    <w:link w:val="1017"/>
    <w:pPr>
      <w:ind w:left="283" w:firstLine="210"/>
      <w:spacing w:after="120"/>
    </w:pPr>
  </w:style>
  <w:style w:type="character" w:styleId="1017" w:customStyle="1">
    <w:name w:val="Красная строка 2 Знак"/>
    <w:basedOn w:val="997"/>
    <w:link w:val="1016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018">
    <w:name w:val="List Bullet 2"/>
    <w:basedOn w:val="760"/>
    <w:pPr>
      <w:ind w:left="567" w:hanging="567"/>
      <w:tabs>
        <w:tab w:val="num" w:pos="567" w:leader="none"/>
      </w:tabs>
    </w:pPr>
  </w:style>
  <w:style w:type="paragraph" w:styleId="1019">
    <w:name w:val="List Bullet 3"/>
    <w:basedOn w:val="760"/>
    <w:pPr>
      <w:ind w:left="567" w:hanging="567"/>
      <w:tabs>
        <w:tab w:val="num" w:pos="567" w:leader="none"/>
      </w:tabs>
    </w:pPr>
  </w:style>
  <w:style w:type="paragraph" w:styleId="1020">
    <w:name w:val="List Bullet 4"/>
    <w:basedOn w:val="760"/>
    <w:pPr>
      <w:ind w:left="567" w:hanging="567"/>
      <w:tabs>
        <w:tab w:val="num" w:pos="567" w:leader="none"/>
      </w:tabs>
    </w:pPr>
  </w:style>
  <w:style w:type="paragraph" w:styleId="1021">
    <w:name w:val="List Bullet 5"/>
    <w:basedOn w:val="760"/>
    <w:pPr>
      <w:ind w:firstLine="0"/>
      <w:tabs>
        <w:tab w:val="num" w:pos="0" w:leader="none"/>
      </w:tabs>
    </w:pPr>
  </w:style>
  <w:style w:type="character" w:styleId="1022">
    <w:name w:val="line number"/>
    <w:rPr>
      <w:rFonts w:cs="Times New Roman"/>
    </w:rPr>
  </w:style>
  <w:style w:type="paragraph" w:styleId="1023">
    <w:name w:val="List Number 3"/>
    <w:basedOn w:val="760"/>
    <w:pPr>
      <w:ind w:firstLine="0"/>
      <w:tabs>
        <w:tab w:val="num" w:pos="0" w:leader="none"/>
      </w:tabs>
    </w:pPr>
  </w:style>
  <w:style w:type="paragraph" w:styleId="1024">
    <w:name w:val="List Number 4"/>
    <w:basedOn w:val="760"/>
    <w:pPr>
      <w:ind w:left="417" w:hanging="360"/>
      <w:tabs>
        <w:tab w:val="num" w:pos="417" w:leader="none"/>
      </w:tabs>
    </w:pPr>
  </w:style>
  <w:style w:type="paragraph" w:styleId="1025">
    <w:name w:val="List Number 5"/>
    <w:basedOn w:val="760"/>
    <w:pPr>
      <w:ind w:left="567" w:hanging="567"/>
      <w:tabs>
        <w:tab w:val="num" w:pos="567" w:leader="none"/>
      </w:tabs>
    </w:pPr>
  </w:style>
  <w:style w:type="character" w:styleId="1026">
    <w:name w:val="HTML Sample"/>
    <w:rPr>
      <w:rFonts w:ascii="Courier New" w:hAnsi="Courier New" w:cs="Courier New"/>
    </w:rPr>
  </w:style>
  <w:style w:type="paragraph" w:styleId="1027">
    <w:name w:val="envelope return"/>
    <w:basedOn w:val="760"/>
    <w:rPr>
      <w:rFonts w:ascii="Arial" w:hAnsi="Arial" w:cs="Arial"/>
      <w:sz w:val="20"/>
      <w:szCs w:val="20"/>
    </w:rPr>
  </w:style>
  <w:style w:type="paragraph" w:styleId="1028">
    <w:name w:val="Normal (Web)"/>
    <w:basedOn w:val="760"/>
    <w:uiPriority w:val="99"/>
  </w:style>
  <w:style w:type="paragraph" w:styleId="1029">
    <w:name w:val="Normal Indent"/>
    <w:basedOn w:val="760"/>
    <w:pPr>
      <w:ind w:left="708"/>
    </w:pPr>
  </w:style>
  <w:style w:type="character" w:styleId="1030">
    <w:name w:val="HTML Definition"/>
    <w:rPr>
      <w:rFonts w:cs="Times New Roman"/>
      <w:i/>
      <w:iCs/>
    </w:rPr>
  </w:style>
  <w:style w:type="paragraph" w:styleId="1031">
    <w:name w:val="Body Text Indent 3"/>
    <w:basedOn w:val="760"/>
    <w:link w:val="1032"/>
    <w:pPr>
      <w:ind w:left="283"/>
      <w:spacing w:after="120"/>
    </w:pPr>
    <w:rPr>
      <w:sz w:val="16"/>
      <w:szCs w:val="16"/>
    </w:rPr>
  </w:style>
  <w:style w:type="character" w:styleId="1032" w:customStyle="1">
    <w:name w:val="Основной текст с отступом 3 Знак"/>
    <w:basedOn w:val="770"/>
    <w:link w:val="1031"/>
    <w:rPr>
      <w:rFonts w:ascii="Times New Roman" w:hAnsi="Times New Roman" w:eastAsia="Times New Roman" w:cs="Times New Roman"/>
      <w:sz w:val="16"/>
      <w:szCs w:val="16"/>
    </w:rPr>
  </w:style>
  <w:style w:type="character" w:styleId="1033">
    <w:name w:val="HTML Variable"/>
    <w:rPr>
      <w:rFonts w:cs="Times New Roman"/>
      <w:i/>
      <w:iCs/>
    </w:rPr>
  </w:style>
  <w:style w:type="character" w:styleId="1034">
    <w:name w:val="HTML Typewriter"/>
    <w:rPr>
      <w:rFonts w:ascii="Courier New" w:hAnsi="Courier New" w:cs="Courier New"/>
      <w:sz w:val="20"/>
      <w:szCs w:val="20"/>
    </w:rPr>
  </w:style>
  <w:style w:type="paragraph" w:styleId="1035">
    <w:name w:val="Signature"/>
    <w:basedOn w:val="760"/>
    <w:link w:val="1036"/>
    <w:pPr>
      <w:ind w:left="4252"/>
    </w:pPr>
    <w:rPr>
      <w:sz w:val="24"/>
    </w:rPr>
  </w:style>
  <w:style w:type="character" w:styleId="1036" w:customStyle="1">
    <w:name w:val="Подпись Знак"/>
    <w:basedOn w:val="770"/>
    <w:link w:val="1035"/>
    <w:rPr>
      <w:rFonts w:ascii="Times New Roman" w:hAnsi="Times New Roman" w:eastAsia="Times New Roman" w:cs="Times New Roman"/>
      <w:sz w:val="24"/>
      <w:szCs w:val="24"/>
    </w:rPr>
  </w:style>
  <w:style w:type="paragraph" w:styleId="1037">
    <w:name w:val="Salutation"/>
    <w:basedOn w:val="760"/>
    <w:next w:val="760"/>
    <w:link w:val="1038"/>
    <w:rPr>
      <w:sz w:val="24"/>
    </w:rPr>
  </w:style>
  <w:style w:type="character" w:styleId="1038" w:customStyle="1">
    <w:name w:val="Приветствие Знак"/>
    <w:basedOn w:val="770"/>
    <w:link w:val="1037"/>
    <w:rPr>
      <w:rFonts w:ascii="Times New Roman" w:hAnsi="Times New Roman" w:eastAsia="Times New Roman" w:cs="Times New Roman"/>
      <w:sz w:val="24"/>
      <w:szCs w:val="24"/>
    </w:rPr>
  </w:style>
  <w:style w:type="paragraph" w:styleId="1039">
    <w:name w:val="List Continue"/>
    <w:basedOn w:val="760"/>
    <w:pPr>
      <w:ind w:left="283"/>
      <w:spacing w:after="120"/>
    </w:pPr>
  </w:style>
  <w:style w:type="paragraph" w:styleId="1040">
    <w:name w:val="List Continue 2"/>
    <w:basedOn w:val="760"/>
    <w:pPr>
      <w:ind w:left="566"/>
      <w:spacing w:after="120"/>
    </w:pPr>
  </w:style>
  <w:style w:type="paragraph" w:styleId="1041">
    <w:name w:val="List Continue 3"/>
    <w:basedOn w:val="760"/>
    <w:pPr>
      <w:ind w:left="849"/>
      <w:spacing w:after="120"/>
    </w:pPr>
  </w:style>
  <w:style w:type="paragraph" w:styleId="1042">
    <w:name w:val="List Continue 4"/>
    <w:basedOn w:val="760"/>
    <w:pPr>
      <w:ind w:left="1132"/>
      <w:spacing w:after="120"/>
    </w:pPr>
  </w:style>
  <w:style w:type="paragraph" w:styleId="1043">
    <w:name w:val="List Continue 5"/>
    <w:basedOn w:val="760"/>
    <w:pPr>
      <w:ind w:left="1415"/>
      <w:spacing w:after="120"/>
    </w:pPr>
  </w:style>
  <w:style w:type="paragraph" w:styleId="1044">
    <w:name w:val="Closing"/>
    <w:basedOn w:val="760"/>
    <w:link w:val="1045"/>
    <w:pPr>
      <w:ind w:left="4252"/>
    </w:pPr>
    <w:rPr>
      <w:sz w:val="24"/>
    </w:rPr>
  </w:style>
  <w:style w:type="character" w:styleId="1045" w:customStyle="1">
    <w:name w:val="Прощание Знак"/>
    <w:basedOn w:val="770"/>
    <w:link w:val="1044"/>
    <w:rPr>
      <w:rFonts w:ascii="Times New Roman" w:hAnsi="Times New Roman" w:eastAsia="Times New Roman" w:cs="Times New Roman"/>
      <w:sz w:val="24"/>
      <w:szCs w:val="24"/>
    </w:rPr>
  </w:style>
  <w:style w:type="paragraph" w:styleId="1046">
    <w:name w:val="List"/>
    <w:basedOn w:val="760"/>
    <w:pPr>
      <w:ind w:left="283" w:hanging="283"/>
    </w:pPr>
  </w:style>
  <w:style w:type="paragraph" w:styleId="1047">
    <w:name w:val="List 2"/>
    <w:basedOn w:val="760"/>
    <w:pPr>
      <w:ind w:left="566" w:hanging="283"/>
    </w:pPr>
  </w:style>
  <w:style w:type="paragraph" w:styleId="1048">
    <w:name w:val="List 3"/>
    <w:basedOn w:val="760"/>
    <w:pPr>
      <w:ind w:left="849" w:hanging="283"/>
    </w:pPr>
  </w:style>
  <w:style w:type="paragraph" w:styleId="1049">
    <w:name w:val="List 4"/>
    <w:basedOn w:val="760"/>
    <w:pPr>
      <w:ind w:left="1132" w:hanging="283"/>
    </w:pPr>
  </w:style>
  <w:style w:type="paragraph" w:styleId="1050">
    <w:name w:val="List 5"/>
    <w:basedOn w:val="760"/>
    <w:pPr>
      <w:ind w:left="1415" w:hanging="283"/>
    </w:pPr>
  </w:style>
  <w:style w:type="paragraph" w:styleId="1051">
    <w:name w:val="HTML Preformatted"/>
    <w:basedOn w:val="760"/>
    <w:link w:val="1052"/>
    <w:rPr>
      <w:rFonts w:ascii="Courier New" w:hAnsi="Courier New"/>
      <w:sz w:val="20"/>
      <w:szCs w:val="20"/>
    </w:rPr>
  </w:style>
  <w:style w:type="character" w:styleId="1052" w:customStyle="1">
    <w:name w:val="Стандартный HTML Знак"/>
    <w:basedOn w:val="770"/>
    <w:link w:val="1051"/>
    <w:rPr>
      <w:rFonts w:ascii="Courier New" w:hAnsi="Courier New" w:eastAsia="Times New Roman" w:cs="Times New Roman"/>
      <w:sz w:val="20"/>
      <w:szCs w:val="20"/>
    </w:rPr>
  </w:style>
  <w:style w:type="character" w:styleId="1053">
    <w:name w:val="Strong"/>
    <w:uiPriority w:val="22"/>
    <w:qFormat/>
    <w:rPr>
      <w:rFonts w:cs="Times New Roman"/>
      <w:b/>
      <w:bCs/>
    </w:rPr>
  </w:style>
  <w:style w:type="paragraph" w:styleId="1054">
    <w:name w:val="Plain Text"/>
    <w:basedOn w:val="760"/>
    <w:link w:val="1055"/>
    <w:rPr>
      <w:rFonts w:ascii="Courier New" w:hAnsi="Courier New"/>
      <w:sz w:val="20"/>
      <w:szCs w:val="20"/>
    </w:rPr>
  </w:style>
  <w:style w:type="character" w:styleId="1055" w:customStyle="1">
    <w:name w:val="Текст Знак"/>
    <w:basedOn w:val="770"/>
    <w:link w:val="1054"/>
    <w:rPr>
      <w:rFonts w:ascii="Courier New" w:hAnsi="Courier New" w:eastAsia="Times New Roman" w:cs="Times New Roman"/>
      <w:sz w:val="20"/>
      <w:szCs w:val="20"/>
    </w:rPr>
  </w:style>
  <w:style w:type="character" w:styleId="1056">
    <w:name w:val="HTML Cite"/>
    <w:rPr>
      <w:rFonts w:cs="Times New Roman"/>
      <w:i/>
      <w:iCs/>
    </w:rPr>
  </w:style>
  <w:style w:type="paragraph" w:styleId="1057">
    <w:name w:val="Message Header"/>
    <w:basedOn w:val="760"/>
    <w:link w:val="1058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sz w:val="24"/>
    </w:rPr>
  </w:style>
  <w:style w:type="character" w:styleId="1058" w:customStyle="1">
    <w:name w:val="Шапка Знак"/>
    <w:basedOn w:val="770"/>
    <w:link w:val="1057"/>
    <w:rPr>
      <w:rFonts w:ascii="Cambria" w:hAnsi="Cambria" w:eastAsia="Times New Roman" w:cs="Times New Roman"/>
      <w:sz w:val="24"/>
      <w:szCs w:val="24"/>
      <w:shd w:val="pct20" w:color="auto" w:fill="auto"/>
    </w:rPr>
  </w:style>
  <w:style w:type="paragraph" w:styleId="1059">
    <w:name w:val="E-mail Signature"/>
    <w:basedOn w:val="760"/>
    <w:link w:val="1060"/>
    <w:rPr>
      <w:sz w:val="24"/>
    </w:rPr>
  </w:style>
  <w:style w:type="character" w:styleId="1060" w:customStyle="1">
    <w:name w:val="Электронная подпись Знак"/>
    <w:basedOn w:val="770"/>
    <w:link w:val="1059"/>
    <w:rPr>
      <w:rFonts w:ascii="Times New Roman" w:hAnsi="Times New Roman" w:eastAsia="Times New Roman" w:cs="Times New Roman"/>
      <w:sz w:val="24"/>
      <w:szCs w:val="24"/>
    </w:rPr>
  </w:style>
  <w:style w:type="paragraph" w:styleId="1061" w:customStyle="1">
    <w:name w:val="Контракт б/н"/>
    <w:basedOn w:val="989"/>
    <w:pPr>
      <w:numPr>
        <w:ilvl w:val="0"/>
        <w:numId w:val="0"/>
      </w:numPr>
      <w:ind w:firstLine="1418"/>
    </w:pPr>
  </w:style>
  <w:style w:type="paragraph" w:styleId="1062" w:customStyle="1">
    <w:name w:val="Контракт-подподпунк"/>
    <w:basedOn w:val="760"/>
    <w:pPr>
      <w:tabs>
        <w:tab w:val="num" w:pos="1418" w:leader="none"/>
      </w:tabs>
    </w:pPr>
  </w:style>
  <w:style w:type="paragraph" w:styleId="1063" w:customStyle="1">
    <w:name w:val="Стиль1"/>
    <w:basedOn w:val="760"/>
    <w:pPr>
      <w:ind w:left="432" w:hanging="432"/>
      <w:jc w:val="left"/>
      <w:keepLines/>
      <w:keepNext/>
      <w:spacing w:after="60"/>
      <w:widowControl w:val="off"/>
      <w:tabs>
        <w:tab w:val="num" w:pos="432" w:leader="none"/>
      </w:tabs>
      <w:suppressLineNumbers/>
    </w:pPr>
    <w:rPr>
      <w:b/>
    </w:rPr>
  </w:style>
  <w:style w:type="paragraph" w:styleId="1064" w:customStyle="1">
    <w:name w:val="Стиль2"/>
    <w:basedOn w:val="1000"/>
    <w:qFormat/>
    <w:pPr>
      <w:ind w:left="576" w:hanging="576"/>
      <w:keepLines/>
      <w:keepNext/>
      <w:spacing w:before="0" w:after="60"/>
      <w:widowControl w:val="off"/>
      <w:tabs>
        <w:tab w:val="num" w:pos="576" w:leader="none"/>
      </w:tabs>
      <w:outlineLvl w:val="9"/>
      <w:suppressLineNumbers/>
    </w:pPr>
    <w:rPr>
      <w:b/>
      <w:sz w:val="24"/>
      <w:szCs w:val="20"/>
    </w:rPr>
  </w:style>
  <w:style w:type="paragraph" w:styleId="1065" w:customStyle="1">
    <w:name w:val="Основной текст 21"/>
    <w:basedOn w:val="760"/>
    <w:pPr>
      <w:ind w:right="-1" w:firstLine="709"/>
      <w:widowControl w:val="off"/>
    </w:pPr>
    <w:rPr>
      <w:spacing w:val="-4"/>
      <w:sz w:val="24"/>
      <w:szCs w:val="20"/>
    </w:rPr>
  </w:style>
  <w:style w:type="paragraph" w:styleId="1066" w:customStyle="1">
    <w:name w:val="!Iniiaiie oaeno"/>
    <w:basedOn w:val="760"/>
    <w:link w:val="1139"/>
    <w:pPr>
      <w:ind w:firstLine="709"/>
      <w:widowControl w:val="off"/>
    </w:pPr>
    <w:rPr>
      <w:sz w:val="24"/>
      <w:szCs w:val="20"/>
    </w:rPr>
  </w:style>
  <w:style w:type="paragraph" w:styleId="1067" w:customStyle="1">
    <w:name w:val="!Iaca.aeaa aieoiaioa"/>
    <w:basedOn w:val="760"/>
    <w:pPr>
      <w:ind w:firstLine="0"/>
      <w:jc w:val="center"/>
      <w:spacing w:after="240"/>
      <w:widowControl w:val="off"/>
    </w:pPr>
    <w:rPr>
      <w:b/>
      <w:caps/>
      <w:sz w:val="24"/>
      <w:szCs w:val="20"/>
    </w:rPr>
  </w:style>
  <w:style w:type="paragraph" w:styleId="1068" w:customStyle="1">
    <w:name w:val="Стиль3 Знак"/>
    <w:basedOn w:val="1001"/>
    <w:pPr>
      <w:numPr>
        <w:ilvl w:val="0"/>
        <w:numId w:val="4"/>
      </w:numPr>
      <w:ind w:left="0" w:firstLine="0"/>
      <w:spacing w:after="0" w:line="240" w:lineRule="auto"/>
      <w:widowControl w:val="off"/>
      <w:tabs>
        <w:tab w:val="num" w:pos="227" w:leader="none"/>
        <w:tab w:val="clear" w:pos="360" w:leader="none"/>
      </w:tabs>
    </w:pPr>
    <w:rPr>
      <w:szCs w:val="20"/>
    </w:rPr>
  </w:style>
  <w:style w:type="paragraph" w:styleId="1069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1070" w:customStyle="1">
    <w:name w:val="Раздел 3"/>
    <w:basedOn w:val="760"/>
    <w:semiHidden/>
    <w:pPr>
      <w:numPr>
        <w:ilvl w:val="0"/>
        <w:numId w:val="5"/>
      </w:numPr>
      <w:ind w:right="51"/>
      <w:jc w:val="center"/>
      <w:spacing w:before="120" w:after="120"/>
    </w:pPr>
    <w:rPr>
      <w:b/>
      <w:sz w:val="24"/>
      <w:szCs w:val="20"/>
    </w:rPr>
  </w:style>
  <w:style w:type="paragraph" w:styleId="1071" w:customStyle="1">
    <w:name w:val="FR3"/>
    <w:pPr>
      <w:jc w:val="both"/>
      <w:spacing w:before="20" w:after="0" w:line="240" w:lineRule="auto"/>
      <w:widowControl w:val="off"/>
    </w:pPr>
    <w:rPr>
      <w:rFonts w:ascii="Arial" w:hAnsi="Arial" w:eastAsia="Times New Roman" w:cs="Times New Roman"/>
      <w:sz w:val="28"/>
      <w:szCs w:val="20"/>
      <w:lang w:eastAsia="ru-RU"/>
    </w:rPr>
  </w:style>
  <w:style w:type="paragraph" w:styleId="1072" w:customStyle="1">
    <w:name w:val="!3"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1073">
    <w:name w:val="Table Grid"/>
    <w:basedOn w:val="771"/>
    <w:uiPriority w:val="5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4" w:customStyle="1">
    <w:name w:val="Стиль Основной текст + 14 пт не полужирный Перед:  6 пт"/>
    <w:basedOn w:val="991"/>
    <w:pPr>
      <w:spacing w:before="120"/>
    </w:pPr>
    <w:rPr>
      <w:b/>
      <w:bCs/>
      <w:i/>
      <w:sz w:val="28"/>
      <w:szCs w:val="20"/>
    </w:rPr>
  </w:style>
  <w:style w:type="paragraph" w:styleId="1075" w:customStyle="1">
    <w:name w:val="Абзац списка1"/>
    <w:basedOn w:val="760"/>
    <w:pPr>
      <w:contextualSpacing/>
      <w:ind w:left="720"/>
    </w:pPr>
  </w:style>
  <w:style w:type="paragraph" w:styleId="1076" w:customStyle="1">
    <w:name w:val="Рецензия1"/>
    <w:hidden/>
    <w:semiHidden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077" w:customStyle="1">
    <w:name w:val="Знак Знак Знак1"/>
    <w:basedOn w:val="760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078" w:customStyle="1">
    <w:name w:val="Заголовок 2 Знак Знак Знак"/>
    <w:rPr>
      <w:b/>
      <w:bCs/>
      <w:smallCaps/>
      <w:sz w:val="32"/>
      <w:szCs w:val="28"/>
    </w:rPr>
  </w:style>
  <w:style w:type="character" w:styleId="1079" w:customStyle="1">
    <w:name w:val="коммент"/>
    <w:rPr>
      <w:i/>
      <w:sz w:val="24"/>
      <w:u w:val="single"/>
      <w:shd w:val="clear" w:color="auto" w:fill="ffff99"/>
    </w:rPr>
  </w:style>
  <w:style w:type="paragraph" w:styleId="1080" w:customStyle="1">
    <w:name w:val="Стиль Заголовок 1 + Times New Roman"/>
    <w:basedOn w:val="761"/>
    <w:link w:val="1081"/>
    <w:pPr>
      <w:ind w:left="360" w:hanging="360"/>
      <w:tabs>
        <w:tab w:val="num" w:pos="360" w:leader="none"/>
      </w:tabs>
    </w:pPr>
    <w:rPr>
      <w:rFonts w:ascii="Times New Roman" w:hAnsi="Times New Roman"/>
    </w:rPr>
  </w:style>
  <w:style w:type="character" w:styleId="1081" w:customStyle="1">
    <w:name w:val="Стиль Заголовок 1 + Times New Roman Знак"/>
    <w:link w:val="1080"/>
    <w:rPr>
      <w:rFonts w:ascii="Times New Roman" w:hAnsi="Times New Roman" w:eastAsia="Times New Roman" w:cs="Arial"/>
      <w:b/>
      <w:bCs/>
      <w:caps/>
      <w:sz w:val="36"/>
      <w:szCs w:val="36"/>
      <w:lang w:eastAsia="ru-RU"/>
    </w:rPr>
  </w:style>
  <w:style w:type="paragraph" w:styleId="1082" w:customStyle="1">
    <w:name w:val="rus_num2"/>
    <w:basedOn w:val="760"/>
    <w:pPr>
      <w:numPr>
        <w:ilvl w:val="1"/>
        <w:numId w:val="6"/>
      </w:numPr>
      <w:ind w:left="792" w:hanging="432"/>
      <w:spacing w:before="130" w:after="130" w:line="260" w:lineRule="exact"/>
      <w:tabs>
        <w:tab w:val="clear" w:pos="360" w:leader="none"/>
        <w:tab w:val="num" w:pos="792" w:leader="none"/>
      </w:tabs>
    </w:pPr>
    <w:rPr>
      <w:sz w:val="20"/>
      <w:szCs w:val="20"/>
      <w:lang w:eastAsia="en-US"/>
    </w:rPr>
  </w:style>
  <w:style w:type="paragraph" w:styleId="1083" w:customStyle="1">
    <w:name w:val="a"/>
    <w:basedOn w:val="760"/>
    <w:pPr>
      <w:ind w:firstLine="0"/>
      <w:jc w:val="left"/>
    </w:pPr>
    <w:rPr>
      <w:b/>
      <w:bCs/>
      <w:sz w:val="24"/>
    </w:rPr>
  </w:style>
  <w:style w:type="paragraph" w:styleId="1084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85" w:customStyle="1">
    <w:name w:val="rvts48220"/>
    <w:rPr>
      <w:rFonts w:ascii="Verdana" w:hAnsi="Verdana" w:cs="Times New Roman"/>
      <w:color w:val="000000"/>
      <w:sz w:val="16"/>
      <w:szCs w:val="16"/>
      <w:u w:val="none"/>
    </w:rPr>
  </w:style>
  <w:style w:type="paragraph" w:styleId="1086" w:customStyle="1">
    <w:name w:val="Абзац"/>
    <w:basedOn w:val="760"/>
    <w:uiPriority w:val="99"/>
    <w:pPr>
      <w:ind w:firstLine="0"/>
      <w:spacing w:after="120"/>
    </w:pPr>
    <w:rPr>
      <w:sz w:val="24"/>
      <w:lang w:eastAsia="en-US"/>
    </w:rPr>
  </w:style>
  <w:style w:type="character" w:styleId="1087" w:customStyle="1">
    <w:name w:val="Основной шрифт"/>
  </w:style>
  <w:style w:type="character" w:styleId="1088" w:customStyle="1">
    <w:name w:val="1"/>
    <w:rPr>
      <w:b/>
      <w:bCs/>
    </w:rPr>
  </w:style>
  <w:style w:type="paragraph" w:styleId="1089" w:customStyle="1">
    <w:name w:val="Список1"/>
    <w:basedOn w:val="760"/>
    <w:pPr>
      <w:ind w:firstLine="0"/>
      <w:spacing w:before="120"/>
    </w:pPr>
    <w:rPr>
      <w:rFonts w:ascii="Arial" w:hAnsi="Arial" w:cs="Arial"/>
      <w:sz w:val="26"/>
    </w:rPr>
  </w:style>
  <w:style w:type="paragraph" w:styleId="1090" w:customStyle="1">
    <w:name w:val="Default Text"/>
    <w:basedOn w:val="760"/>
    <w:pPr>
      <w:ind w:firstLine="0"/>
      <w:jc w:val="left"/>
    </w:pPr>
    <w:rPr>
      <w:sz w:val="24"/>
      <w:szCs w:val="20"/>
      <w:lang w:val="en-GB" w:eastAsia="en-US"/>
    </w:rPr>
  </w:style>
  <w:style w:type="character" w:styleId="1091" w:customStyle="1">
    <w:name w:val="postbody"/>
    <w:basedOn w:val="770"/>
  </w:style>
  <w:style w:type="character" w:styleId="1092" w:customStyle="1">
    <w:name w:val="Linie Знак"/>
    <w:rPr>
      <w:lang w:val="ru-RU" w:eastAsia="ru-RU" w:bidi="ar-SA"/>
    </w:rPr>
  </w:style>
  <w:style w:type="paragraph" w:styleId="1093" w:customStyle="1">
    <w:name w:val="заголовок 11"/>
    <w:basedOn w:val="760"/>
    <w:next w:val="760"/>
    <w:pPr>
      <w:ind w:firstLine="0"/>
      <w:jc w:val="center"/>
      <w:keepNext/>
    </w:pPr>
    <w:rPr>
      <w:sz w:val="24"/>
      <w:szCs w:val="20"/>
    </w:rPr>
  </w:style>
  <w:style w:type="paragraph" w:styleId="1094" w:customStyle="1">
    <w:name w:val="Default"/>
    <w:pPr>
      <w:spacing w:after="0" w:line="240" w:lineRule="auto"/>
      <w:widowControl w:val="off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095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Times New Roman"/>
      <w:sz w:val="24"/>
      <w:szCs w:val="20"/>
      <w:lang w:eastAsia="ru-RU"/>
    </w:rPr>
  </w:style>
  <w:style w:type="paragraph" w:styleId="1096" w:customStyle="1">
    <w:name w:val="Основной текст 22"/>
    <w:basedOn w:val="1095"/>
    <w:pPr>
      <w:ind w:firstLine="567"/>
    </w:pPr>
    <w:rPr>
      <w:rFonts w:ascii="Times New Roman" w:hAnsi="Times New Roman"/>
    </w:rPr>
  </w:style>
  <w:style w:type="paragraph" w:styleId="1097" w:customStyle="1">
    <w:name w:val="Con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98" w:customStyle="1">
    <w:name w:val="Текст1"/>
    <w:basedOn w:val="1069"/>
    <w:uiPriority w:val="99"/>
    <w:pPr>
      <w:ind w:firstLine="0"/>
      <w:jc w:val="left"/>
      <w:spacing w:before="0" w:after="0"/>
      <w:widowControl/>
    </w:pPr>
    <w:rPr>
      <w:sz w:val="26"/>
      <w:szCs w:val="20"/>
    </w:rPr>
  </w:style>
  <w:style w:type="paragraph" w:styleId="1099" w:customStyle="1">
    <w:name w:val="Indent1"/>
    <w:basedOn w:val="760"/>
    <w:pPr>
      <w:ind w:left="567" w:right="142" w:hanging="567"/>
      <w:jc w:val="left"/>
      <w:spacing w:before="60" w:after="60" w:line="260" w:lineRule="exact"/>
      <w:tabs>
        <w:tab w:val="left" w:pos="567" w:leader="none"/>
        <w:tab w:val="left" w:pos="1021" w:leader="none"/>
        <w:tab w:val="left" w:pos="1474" w:leader="none"/>
        <w:tab w:val="left" w:pos="1928" w:leader="none"/>
        <w:tab w:val="left" w:pos="2381" w:leader="none"/>
      </w:tabs>
    </w:pPr>
    <w:rPr>
      <w:rFonts w:ascii="Optima" w:hAnsi="Optima"/>
      <w:sz w:val="22"/>
      <w:szCs w:val="22"/>
      <w:lang w:val="en-GB"/>
    </w:rPr>
  </w:style>
  <w:style w:type="paragraph" w:styleId="1100" w:customStyle="1">
    <w:name w:val="Indent1 Char Char Char Char"/>
    <w:basedOn w:val="760"/>
    <w:pPr>
      <w:ind w:left="567" w:hanging="567"/>
      <w:jc w:val="left"/>
    </w:pPr>
    <w:rPr>
      <w:sz w:val="24"/>
      <w:szCs w:val="20"/>
      <w:lang w:val="en-US" w:eastAsia="en-US"/>
    </w:rPr>
  </w:style>
  <w:style w:type="paragraph" w:styleId="1101" w:customStyle="1">
    <w:name w:val="Level 1"/>
    <w:basedOn w:val="760"/>
    <w:pPr>
      <w:numPr>
        <w:ilvl w:val="0"/>
        <w:numId w:val="7"/>
      </w:numPr>
      <w:jc w:val="left"/>
      <w:widowControl w:val="off"/>
      <w:outlineLvl w:val="0"/>
    </w:pPr>
    <w:rPr>
      <w:rFonts w:ascii="CG Times" w:hAnsi="CG Times"/>
      <w:sz w:val="24"/>
      <w:szCs w:val="20"/>
      <w:lang w:val="en-US" w:eastAsia="en-US"/>
    </w:rPr>
  </w:style>
  <w:style w:type="paragraph" w:styleId="1102" w:customStyle="1">
    <w:name w:val="Headlevel2 + Not caps"/>
    <w:basedOn w:val="760"/>
    <w:pPr>
      <w:numPr>
        <w:ilvl w:val="4"/>
        <w:numId w:val="7"/>
      </w:numPr>
      <w:ind w:right="-1"/>
      <w:keepNext/>
      <w:spacing w:before="80"/>
      <w:widowControl w:val="off"/>
      <w:outlineLvl w:val="2"/>
    </w:pPr>
    <w:rPr>
      <w:caps/>
      <w:sz w:val="22"/>
      <w:szCs w:val="22"/>
      <w:lang w:val="en-US"/>
    </w:rPr>
  </w:style>
  <w:style w:type="paragraph" w:styleId="1103" w:customStyle="1">
    <w:name w:val="Headlevel2"/>
    <w:basedOn w:val="760"/>
    <w:pPr>
      <w:ind w:firstLine="0"/>
      <w:jc w:val="left"/>
      <w:keepNext/>
      <w:spacing w:before="240" w:after="60"/>
      <w:tabs>
        <w:tab w:val="left" w:pos="340" w:leader="none"/>
        <w:tab w:val="left" w:pos="567" w:leader="none"/>
        <w:tab w:val="left" w:pos="1021" w:leader="none"/>
        <w:tab w:val="left" w:pos="1474" w:leader="none"/>
        <w:tab w:val="left" w:pos="1928" w:leader="none"/>
        <w:tab w:val="left" w:pos="2381" w:leader="none"/>
      </w:tabs>
    </w:pPr>
    <w:rPr>
      <w:b/>
      <w:caps/>
      <w:sz w:val="22"/>
      <w:szCs w:val="20"/>
      <w:lang w:val="en-US"/>
    </w:rPr>
  </w:style>
  <w:style w:type="paragraph" w:styleId="1104" w:customStyle="1">
    <w:name w:val="Text"/>
    <w:basedOn w:val="760"/>
    <w:pPr>
      <w:ind w:firstLine="1440"/>
      <w:jc w:val="left"/>
      <w:spacing w:after="240"/>
    </w:pPr>
    <w:rPr>
      <w:sz w:val="24"/>
      <w:lang w:val="en-US" w:eastAsia="en-US"/>
    </w:rPr>
  </w:style>
  <w:style w:type="paragraph" w:styleId="1105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1106" w:customStyle="1">
    <w:name w:val="Пункт Знак1"/>
    <w:rPr>
      <w:rFonts w:ascii="Times New Roman" w:hAnsi="Times New Roman"/>
      <w:sz w:val="28"/>
      <w:szCs w:val="28"/>
    </w:rPr>
  </w:style>
  <w:style w:type="character" w:styleId="1107" w:customStyle="1">
    <w:name w:val="Название Знак1"/>
    <w:rPr>
      <w:rFonts w:ascii="Times New Roman" w:hAnsi="Times New Roman" w:cs="Times New Roman"/>
      <w:sz w:val="28"/>
      <w:szCs w:val="28"/>
      <w:lang w:eastAsia="en-US"/>
    </w:rPr>
  </w:style>
  <w:style w:type="paragraph" w:styleId="1108" w:customStyle="1">
    <w:name w:val="Body Text 23"/>
    <w:basedOn w:val="1095"/>
    <w:pPr>
      <w:ind w:firstLine="567"/>
      <w:spacing w:line="240" w:lineRule="atLeast"/>
    </w:pPr>
    <w:rPr>
      <w:rFonts w:ascii="Arial" w:hAnsi="Arial"/>
      <w:sz w:val="20"/>
    </w:rPr>
  </w:style>
  <w:style w:type="paragraph" w:styleId="1109" w:customStyle="1">
    <w:name w:val="бычный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Times New Roman"/>
      <w:sz w:val="24"/>
      <w:szCs w:val="20"/>
      <w:lang w:eastAsia="ru-RU"/>
    </w:rPr>
  </w:style>
  <w:style w:type="paragraph" w:styleId="1110" w:customStyle="1">
    <w:name w:val="Пункт-4"/>
    <w:basedOn w:val="760"/>
    <w:link w:val="1111"/>
    <w:pPr>
      <w:spacing w:after="200"/>
      <w:tabs>
        <w:tab w:val="num" w:pos="1701" w:leader="none"/>
      </w:tabs>
    </w:pPr>
    <w:rPr>
      <w:szCs w:val="22"/>
    </w:rPr>
  </w:style>
  <w:style w:type="character" w:styleId="1111" w:customStyle="1">
    <w:name w:val="Пункт-4 Знак Знак"/>
    <w:link w:val="1110"/>
    <w:rPr>
      <w:rFonts w:ascii="Times New Roman" w:hAnsi="Times New Roman" w:eastAsia="Times New Roman" w:cs="Times New Roman"/>
      <w:sz w:val="28"/>
    </w:rPr>
  </w:style>
  <w:style w:type="paragraph" w:styleId="1112">
    <w:name w:val="List Paragraph"/>
    <w:basedOn w:val="760"/>
    <w:uiPriority w:val="34"/>
    <w:qFormat/>
    <w:pPr>
      <w:ind w:left="720" w:firstLine="0"/>
      <w:jc w:val="left"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paragraph" w:styleId="1113" w:customStyle="1">
    <w:name w:val="Абзац списка2"/>
    <w:basedOn w:val="760"/>
    <w:pPr>
      <w:contextualSpacing/>
      <w:ind w:left="720" w:firstLine="0"/>
      <w:jc w:val="left"/>
    </w:pPr>
    <w:rPr>
      <w:sz w:val="24"/>
    </w:rPr>
  </w:style>
  <w:style w:type="paragraph" w:styleId="1114" w:customStyle="1">
    <w:name w:val="!Iniiaiie oaeno2"/>
    <w:basedOn w:val="760"/>
    <w:pPr>
      <w:ind w:firstLine="709"/>
    </w:pPr>
    <w:rPr>
      <w:sz w:val="24"/>
      <w:szCs w:val="20"/>
    </w:rPr>
  </w:style>
  <w:style w:type="paragraph" w:styleId="1115">
    <w:name w:val="TOC Heading"/>
    <w:basedOn w:val="761"/>
    <w:next w:val="760"/>
    <w:uiPriority w:val="39"/>
    <w:semiHidden/>
    <w:unhideWhenUsed/>
    <w:qFormat/>
    <w:pPr>
      <w:jc w:val="left"/>
      <w:pageBreakBefore w:val="0"/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sz w:val="28"/>
      <w:szCs w:val="28"/>
      <w:lang w:eastAsia="en-US"/>
    </w:rPr>
  </w:style>
  <w:style w:type="paragraph" w:styleId="1116" w:customStyle="1">
    <w:name w:val="font5"/>
    <w:basedOn w:val="760"/>
    <w:pPr>
      <w:ind w:firstLine="0"/>
      <w:jc w:val="left"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styleId="1117" w:customStyle="1">
    <w:name w:val="xl65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1118" w:customStyle="1">
    <w:name w:val="xl66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0"/>
      <w:szCs w:val="20"/>
    </w:rPr>
  </w:style>
  <w:style w:type="paragraph" w:styleId="1119" w:customStyle="1">
    <w:name w:val="xl67"/>
    <w:basedOn w:val="760"/>
    <w:pPr>
      <w:ind w:firstLine="0"/>
      <w:jc w:val="left"/>
      <w:spacing w:before="100" w:beforeAutospacing="1" w:after="100" w:afterAutospacing="1"/>
    </w:pPr>
    <w:rPr>
      <w:sz w:val="20"/>
      <w:szCs w:val="20"/>
    </w:rPr>
  </w:style>
  <w:style w:type="paragraph" w:styleId="1120" w:customStyle="1">
    <w:name w:val="xl68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21" w:customStyle="1">
    <w:name w:val="xl69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</w:pBdr>
    </w:pPr>
    <w:rPr>
      <w:sz w:val="20"/>
      <w:szCs w:val="20"/>
    </w:rPr>
  </w:style>
  <w:style w:type="paragraph" w:styleId="1122" w:customStyle="1">
    <w:name w:val="xl70"/>
    <w:basedOn w:val="760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23" w:customStyle="1">
    <w:name w:val="xl71"/>
    <w:basedOn w:val="760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24" w:customStyle="1">
    <w:name w:val="xl72"/>
    <w:basedOn w:val="760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25" w:customStyle="1">
    <w:name w:val="xl73"/>
    <w:basedOn w:val="760"/>
    <w:pPr>
      <w:ind w:firstLine="0"/>
      <w:jc w:val="center"/>
      <w:spacing w:before="100" w:beforeAutospacing="1" w:after="100" w:afterAutospacing="1"/>
    </w:pPr>
    <w:rPr>
      <w:sz w:val="20"/>
      <w:szCs w:val="20"/>
    </w:rPr>
  </w:style>
  <w:style w:type="paragraph" w:styleId="1126" w:customStyle="1">
    <w:name w:val="xl74"/>
    <w:basedOn w:val="760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1127" w:customStyle="1">
    <w:name w:val="xl75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28" w:customStyle="1">
    <w:name w:val="xl76"/>
    <w:basedOn w:val="760"/>
    <w:pPr>
      <w:ind w:firstLine="0"/>
      <w:jc w:val="left"/>
      <w:spacing w:before="100" w:beforeAutospacing="1" w:after="100" w:afterAutospacing="1"/>
    </w:pPr>
    <w:rPr>
      <w:sz w:val="20"/>
      <w:szCs w:val="20"/>
    </w:rPr>
  </w:style>
  <w:style w:type="paragraph" w:styleId="1129" w:customStyle="1">
    <w:name w:val="xl77"/>
    <w:basedOn w:val="760"/>
    <w:pPr>
      <w:ind w:firstLine="0"/>
      <w:jc w:val="left"/>
      <w:spacing w:before="100" w:beforeAutospacing="1" w:after="100" w:afterAutospacing="1"/>
    </w:pPr>
    <w:rPr>
      <w:sz w:val="20"/>
      <w:szCs w:val="20"/>
    </w:rPr>
  </w:style>
  <w:style w:type="paragraph" w:styleId="1130" w:customStyle="1">
    <w:name w:val="xl78"/>
    <w:basedOn w:val="760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31" w:customStyle="1">
    <w:name w:val="xl79"/>
    <w:basedOn w:val="760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32" w:customStyle="1">
    <w:name w:val="xl80"/>
    <w:basedOn w:val="760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33" w:customStyle="1">
    <w:name w:val="xl81"/>
    <w:basedOn w:val="760"/>
    <w:pPr>
      <w:ind w:firstLine="0"/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1134" w:customStyle="1">
    <w:name w:val="Абзац списка3"/>
    <w:basedOn w:val="760"/>
    <w:pPr>
      <w:contextualSpacing/>
      <w:ind w:left="720" w:firstLine="0"/>
      <w:jc w:val="left"/>
    </w:pPr>
    <w:rPr>
      <w:rFonts w:eastAsia="Calibri"/>
      <w:sz w:val="24"/>
    </w:rPr>
  </w:style>
  <w:style w:type="character" w:styleId="1135" w:customStyle="1">
    <w:name w:val="Font Style61"/>
    <w:basedOn w:val="770"/>
    <w:rPr>
      <w:rFonts w:ascii="Times New Roman" w:hAnsi="Times New Roman" w:cs="Times New Roman"/>
      <w:b/>
      <w:bCs/>
      <w:sz w:val="24"/>
      <w:szCs w:val="24"/>
    </w:rPr>
  </w:style>
  <w:style w:type="paragraph" w:styleId="113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137" w:customStyle="1">
    <w:name w:val="Подподподподпункт"/>
    <w:basedOn w:val="760"/>
    <w:uiPriority w:val="99"/>
    <w:pPr>
      <w:ind w:left="2835" w:hanging="567"/>
      <w:spacing w:line="360" w:lineRule="auto"/>
      <w:tabs>
        <w:tab w:val="num" w:pos="2835" w:leader="none"/>
      </w:tabs>
    </w:pPr>
    <w:rPr>
      <w:bCs/>
      <w:sz w:val="22"/>
      <w:szCs w:val="22"/>
    </w:rPr>
  </w:style>
  <w:style w:type="paragraph" w:styleId="1138" w:customStyle="1">
    <w:name w:val="Times 12"/>
    <w:basedOn w:val="760"/>
    <w:rPr>
      <w:bCs/>
      <w:sz w:val="24"/>
      <w:szCs w:val="22"/>
    </w:rPr>
  </w:style>
  <w:style w:type="character" w:styleId="1139" w:customStyle="1">
    <w:name w:val="!Iniiaiie oaeno Знак"/>
    <w:link w:val="1066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B879C-3F21-4EA5-A3BC-F9EDF0F5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ROSSETI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Иван Андреевич</dc:creator>
  <cp:revision>8</cp:revision>
  <dcterms:created xsi:type="dcterms:W3CDTF">2024-10-15T06:27:00Z</dcterms:created>
  <dcterms:modified xsi:type="dcterms:W3CDTF">2024-10-30T03:34:26Z</dcterms:modified>
</cp:coreProperties>
</file>